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0B095C" w:rsidRPr="006D1D64" w:rsidTr="00DB4D94">
        <w:trPr>
          <w:cantSplit/>
          <w:trHeight w:val="299"/>
        </w:trPr>
        <w:tc>
          <w:tcPr>
            <w:tcW w:w="0" w:type="auto"/>
            <w:shd w:val="clear" w:color="auto" w:fill="FFFFFF"/>
            <w:vAlign w:val="center"/>
          </w:tcPr>
          <w:p w:rsidR="000B095C" w:rsidRPr="00646024" w:rsidRDefault="005F69E5" w:rsidP="006460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Gestionnaire</w:t>
            </w:r>
            <w:r w:rsidR="00D26890" w:rsidRPr="00646024">
              <w:rPr>
                <w:b/>
                <w:sz w:val="28"/>
                <w:szCs w:val="28"/>
              </w:rPr>
              <w:t xml:space="preserve"> </w:t>
            </w:r>
            <w:r w:rsidR="000B095C" w:rsidRPr="00646024">
              <w:rPr>
                <w:b/>
                <w:sz w:val="28"/>
                <w:szCs w:val="28"/>
              </w:rPr>
              <w:t xml:space="preserve">paye et ressources humaines </w:t>
            </w:r>
          </w:p>
          <w:p w:rsidR="000B095C" w:rsidRPr="006D1D64" w:rsidRDefault="000B095C" w:rsidP="0064602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0B095C" w:rsidRPr="006D1D64" w:rsidRDefault="00DC336B" w:rsidP="00646024">
            <w:pPr>
              <w:pStyle w:val="Titre4"/>
              <w:shd w:val="clear" w:color="auto" w:fill="FFFFFF"/>
              <w:rPr>
                <w:rFonts w:ascii="Arial" w:hAnsi="Arial" w:cs="Arial"/>
                <w:b/>
                <w:i w:val="0"/>
                <w:color w:val="000000"/>
              </w:rPr>
            </w:pPr>
            <w:r>
              <w:rPr>
                <w:rFonts w:ascii="Arial" w:hAnsi="Arial" w:cs="Arial"/>
                <w:b/>
                <w:i w:val="0"/>
                <w:color w:val="000000"/>
              </w:rPr>
              <w:t xml:space="preserve">I - </w:t>
            </w:r>
            <w:r w:rsidR="000B095C" w:rsidRPr="006D1D64">
              <w:rPr>
                <w:rFonts w:ascii="Arial" w:hAnsi="Arial" w:cs="Arial"/>
                <w:b/>
                <w:i w:val="0"/>
                <w:color w:val="000000"/>
              </w:rPr>
              <w:t>Mission :</w:t>
            </w:r>
          </w:p>
          <w:p w:rsidR="000B095C" w:rsidRPr="006D1D64" w:rsidRDefault="000B095C" w:rsidP="006460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3333"/>
              </w:rPr>
            </w:pPr>
          </w:p>
          <w:p w:rsidR="000B095C" w:rsidRDefault="000B095C" w:rsidP="006460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6D1D64">
              <w:rPr>
                <w:rFonts w:ascii="Arial" w:hAnsi="Arial" w:cs="Arial"/>
                <w:color w:val="000000"/>
              </w:rPr>
              <w:t>L’INS HEA est un établissement d’enseignement supérieur qui forme des enseignants et des personnels d’encadrement, qui souhaitent se spécialiser auprès d’enfants présentant des besoins éducatifs particuliers.</w:t>
            </w:r>
          </w:p>
          <w:p w:rsidR="00D26890" w:rsidRPr="006D1D64" w:rsidRDefault="00D26890" w:rsidP="006460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6D1D64">
              <w:rPr>
                <w:rFonts w:ascii="Arial" w:hAnsi="Arial" w:cs="Arial"/>
                <w:color w:val="000000"/>
              </w:rPr>
              <w:t xml:space="preserve">En raison de la taille de l’établissement les missions du service sont multiples, diverses et variées. </w:t>
            </w:r>
          </w:p>
          <w:p w:rsidR="00D26890" w:rsidRPr="006D1D64" w:rsidRDefault="00D26890" w:rsidP="006460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 ou la gestionnaire devra a</w:t>
            </w:r>
            <w:r w:rsidRPr="006D1D64">
              <w:rPr>
                <w:rFonts w:ascii="Arial" w:hAnsi="Arial" w:cs="Arial"/>
                <w:color w:val="000000"/>
              </w:rPr>
              <w:t>ssurer</w:t>
            </w:r>
            <w:r w:rsidR="00DC336B">
              <w:rPr>
                <w:rFonts w:ascii="Arial" w:hAnsi="Arial" w:cs="Arial"/>
                <w:color w:val="000000"/>
              </w:rPr>
              <w:t xml:space="preserve"> avec trois autres personnes</w:t>
            </w:r>
            <w:r w:rsidRPr="006D1D64">
              <w:rPr>
                <w:rFonts w:ascii="Arial" w:hAnsi="Arial" w:cs="Arial"/>
                <w:color w:val="000000"/>
              </w:rPr>
              <w:t xml:space="preserve">, sous l’autorité du responsable du service, les missions qui relèvent d’un service RH dans un établissement d’enseignement supérieur de petite taille (effectif total : 140 personnes). </w:t>
            </w:r>
          </w:p>
          <w:p w:rsidR="00D26890" w:rsidRPr="006D1D64" w:rsidRDefault="00D26890" w:rsidP="006460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0B095C" w:rsidRPr="006D1D64" w:rsidRDefault="000B095C" w:rsidP="006460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0B095C" w:rsidRPr="006D1D64" w:rsidRDefault="000B095C" w:rsidP="006460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6D1D64">
              <w:rPr>
                <w:rFonts w:ascii="Arial" w:hAnsi="Arial" w:cs="Arial"/>
                <w:b/>
                <w:color w:val="000000"/>
                <w:u w:val="single"/>
              </w:rPr>
              <w:t>Les missions principales sont :</w:t>
            </w:r>
          </w:p>
          <w:p w:rsidR="000B095C" w:rsidRDefault="000B095C" w:rsidP="0064602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Exécuter les opérations de paie via l’application GIRAFE</w:t>
            </w:r>
            <w:r w:rsidR="00D2689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dans le respect des procédures et des délais imposés par la direction générale des finances publiques</w:t>
            </w:r>
            <w:r w:rsidR="00D26890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opération</w:t>
            </w:r>
            <w:r w:rsidR="00D268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prise en charge, de changement de situation</w:t>
            </w:r>
            <w:r w:rsidR="00D26890">
              <w:rPr>
                <w:rFonts w:ascii="Arial" w:hAnsi="Arial" w:cs="Arial"/>
              </w:rPr>
              <w:t xml:space="preserve"> administrative</w:t>
            </w:r>
            <w:r>
              <w:rPr>
                <w:rFonts w:ascii="Arial" w:hAnsi="Arial" w:cs="Arial"/>
              </w:rPr>
              <w:t>, promotion</w:t>
            </w:r>
            <w:r w:rsidR="00D268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d’échelon et de grade, temps partiels, détachement, maladie…</w:t>
            </w:r>
          </w:p>
          <w:p w:rsidR="000B095C" w:rsidRDefault="00D26890" w:rsidP="0064602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125C0">
              <w:rPr>
                <w:rFonts w:ascii="Arial" w:hAnsi="Arial" w:cs="Arial"/>
              </w:rPr>
              <w:t>Être</w:t>
            </w:r>
            <w:r>
              <w:rPr>
                <w:rFonts w:ascii="Arial" w:hAnsi="Arial" w:cs="Arial"/>
              </w:rPr>
              <w:t xml:space="preserve"> le(</w:t>
            </w:r>
            <w:r w:rsidR="000B095C" w:rsidRPr="003125C0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>)</w:t>
            </w:r>
            <w:r w:rsidR="000B095C" w:rsidRPr="003125C0">
              <w:rPr>
                <w:rFonts w:ascii="Arial" w:hAnsi="Arial" w:cs="Arial"/>
              </w:rPr>
              <w:t xml:space="preserve"> </w:t>
            </w:r>
            <w:r w:rsidR="000B095C">
              <w:rPr>
                <w:rFonts w:ascii="Arial" w:hAnsi="Arial" w:cs="Arial"/>
              </w:rPr>
              <w:t>correspondant</w:t>
            </w:r>
            <w:r>
              <w:rPr>
                <w:rFonts w:ascii="Arial" w:hAnsi="Arial" w:cs="Arial"/>
              </w:rPr>
              <w:t>(</w:t>
            </w:r>
            <w:r w:rsidR="000B095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)</w:t>
            </w:r>
            <w:r w:rsidR="000B095C">
              <w:rPr>
                <w:rFonts w:ascii="Arial" w:hAnsi="Arial" w:cs="Arial"/>
              </w:rPr>
              <w:t xml:space="preserve"> unique</w:t>
            </w:r>
            <w:r>
              <w:rPr>
                <w:rFonts w:ascii="Arial" w:hAnsi="Arial" w:cs="Arial"/>
              </w:rPr>
              <w:t>,</w:t>
            </w:r>
            <w:r w:rsidR="000B095C">
              <w:rPr>
                <w:rFonts w:ascii="Arial" w:hAnsi="Arial" w:cs="Arial"/>
              </w:rPr>
              <w:t xml:space="preserve"> auprès de la trésorerie générale des Yvelines</w:t>
            </w:r>
            <w:r>
              <w:rPr>
                <w:rFonts w:ascii="Arial" w:hAnsi="Arial" w:cs="Arial"/>
              </w:rPr>
              <w:t xml:space="preserve"> (TGY),</w:t>
            </w:r>
            <w:r w:rsidR="000B095C">
              <w:rPr>
                <w:rFonts w:ascii="Arial" w:hAnsi="Arial" w:cs="Arial"/>
              </w:rPr>
              <w:t xml:space="preserve"> des opérations </w:t>
            </w:r>
            <w:r w:rsidR="003256CA">
              <w:rPr>
                <w:rFonts w:ascii="Arial" w:hAnsi="Arial" w:cs="Arial"/>
              </w:rPr>
              <w:t xml:space="preserve">concernant </w:t>
            </w:r>
            <w:r w:rsidR="000B095C">
              <w:rPr>
                <w:rFonts w:ascii="Arial" w:hAnsi="Arial" w:cs="Arial"/>
              </w:rPr>
              <w:t>la paye de l’ensemble des personnels de l’Institut et des int</w:t>
            </w:r>
            <w:r w:rsidR="003256CA">
              <w:rPr>
                <w:rFonts w:ascii="Arial" w:hAnsi="Arial" w:cs="Arial"/>
              </w:rPr>
              <w:t xml:space="preserve">ervenants extérieurs, résoudre tous </w:t>
            </w:r>
            <w:r>
              <w:rPr>
                <w:rFonts w:ascii="Arial" w:hAnsi="Arial" w:cs="Arial"/>
              </w:rPr>
              <w:t xml:space="preserve">les </w:t>
            </w:r>
            <w:r w:rsidR="003256CA">
              <w:rPr>
                <w:rFonts w:ascii="Arial" w:hAnsi="Arial" w:cs="Arial"/>
              </w:rPr>
              <w:t>i</w:t>
            </w:r>
            <w:r w:rsidR="000B095C">
              <w:rPr>
                <w:rFonts w:ascii="Arial" w:hAnsi="Arial" w:cs="Arial"/>
              </w:rPr>
              <w:t>ncidents relatifs à la paie</w:t>
            </w:r>
            <w:r>
              <w:rPr>
                <w:rFonts w:ascii="Arial" w:hAnsi="Arial" w:cs="Arial"/>
              </w:rPr>
              <w:t>,</w:t>
            </w:r>
            <w:r w:rsidR="000B095C">
              <w:rPr>
                <w:rFonts w:ascii="Arial" w:hAnsi="Arial" w:cs="Arial"/>
              </w:rPr>
              <w:t xml:space="preserve"> en liaison avec la </w:t>
            </w:r>
            <w:r>
              <w:rPr>
                <w:rFonts w:ascii="Arial" w:hAnsi="Arial" w:cs="Arial"/>
              </w:rPr>
              <w:t>TGY</w:t>
            </w:r>
            <w:r w:rsidR="000B095C">
              <w:rPr>
                <w:rFonts w:ascii="Arial" w:hAnsi="Arial" w:cs="Arial"/>
              </w:rPr>
              <w:t>.</w:t>
            </w:r>
          </w:p>
          <w:p w:rsidR="00F00BAE" w:rsidRDefault="000B095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46024">
              <w:rPr>
                <w:rFonts w:ascii="Arial" w:hAnsi="Arial" w:cs="Arial"/>
              </w:rPr>
              <w:t>Suivi et gestion de l’ensemble des personnels enseignants de l’Institut (personnel</w:t>
            </w:r>
            <w:r w:rsidR="00D26890" w:rsidRPr="00646024">
              <w:rPr>
                <w:rFonts w:ascii="Arial" w:hAnsi="Arial" w:cs="Arial"/>
              </w:rPr>
              <w:t>s</w:t>
            </w:r>
            <w:r w:rsidRPr="00646024">
              <w:rPr>
                <w:rFonts w:ascii="Arial" w:hAnsi="Arial" w:cs="Arial"/>
              </w:rPr>
              <w:t xml:space="preserve"> d</w:t>
            </w:r>
            <w:r w:rsidR="00DC336B">
              <w:rPr>
                <w:rFonts w:ascii="Arial" w:hAnsi="Arial" w:cs="Arial"/>
              </w:rPr>
              <w:t>es</w:t>
            </w:r>
            <w:r w:rsidRPr="00646024">
              <w:rPr>
                <w:rFonts w:ascii="Arial" w:hAnsi="Arial" w:cs="Arial"/>
              </w:rPr>
              <w:t xml:space="preserve"> 1</w:t>
            </w:r>
            <w:r w:rsidRPr="00646024">
              <w:rPr>
                <w:rFonts w:ascii="Arial" w:hAnsi="Arial" w:cs="Arial"/>
                <w:vertAlign w:val="superscript"/>
              </w:rPr>
              <w:t>er</w:t>
            </w:r>
            <w:r w:rsidRPr="00646024">
              <w:rPr>
                <w:rFonts w:ascii="Arial" w:hAnsi="Arial" w:cs="Arial"/>
              </w:rPr>
              <w:t xml:space="preserve"> </w:t>
            </w:r>
            <w:r w:rsidR="00DC336B">
              <w:rPr>
                <w:rFonts w:ascii="Arial" w:hAnsi="Arial" w:cs="Arial"/>
              </w:rPr>
              <w:t>et</w:t>
            </w:r>
            <w:r w:rsidRPr="00646024">
              <w:rPr>
                <w:rFonts w:ascii="Arial" w:hAnsi="Arial" w:cs="Arial"/>
              </w:rPr>
              <w:t xml:space="preserve"> 2</w:t>
            </w:r>
            <w:r w:rsidR="00D26890" w:rsidRPr="00646024">
              <w:rPr>
                <w:rFonts w:ascii="Arial" w:hAnsi="Arial" w:cs="Arial"/>
                <w:vertAlign w:val="superscript"/>
              </w:rPr>
              <w:t>nd</w:t>
            </w:r>
            <w:r w:rsidRPr="00646024">
              <w:rPr>
                <w:rFonts w:ascii="Arial" w:hAnsi="Arial" w:cs="Arial"/>
              </w:rPr>
              <w:t xml:space="preserve"> degré</w:t>
            </w:r>
            <w:r w:rsidR="00DC336B">
              <w:rPr>
                <w:rFonts w:ascii="Arial" w:hAnsi="Arial" w:cs="Arial"/>
              </w:rPr>
              <w:t>s</w:t>
            </w:r>
            <w:r w:rsidR="002470E5" w:rsidRPr="00646024">
              <w:rPr>
                <w:rFonts w:ascii="Arial" w:hAnsi="Arial" w:cs="Arial"/>
              </w:rPr>
              <w:t xml:space="preserve">, </w:t>
            </w:r>
            <w:r w:rsidRPr="00646024">
              <w:rPr>
                <w:rFonts w:ascii="Arial" w:hAnsi="Arial" w:cs="Arial"/>
              </w:rPr>
              <w:t>enseignants chercheurs)</w:t>
            </w:r>
            <w:r w:rsidR="00D26890" w:rsidRPr="00646024">
              <w:rPr>
                <w:rFonts w:ascii="Arial" w:hAnsi="Arial" w:cs="Arial"/>
              </w:rPr>
              <w:t xml:space="preserve"> : </w:t>
            </w:r>
            <w:r w:rsidRPr="00646024">
              <w:rPr>
                <w:rFonts w:ascii="Arial" w:hAnsi="Arial" w:cs="Arial"/>
              </w:rPr>
              <w:t xml:space="preserve">préparer et rédiger l’ensemble des actes les concernant (arrêtés de titularisation, de reclassement, de changement d’échelon, d’avancement…) </w:t>
            </w:r>
          </w:p>
          <w:p w:rsidR="00D26890" w:rsidRDefault="00F00B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Suivi des autorisations de cumul des enseignants et enseignants chercheurs</w:t>
            </w:r>
          </w:p>
          <w:p w:rsidR="000B095C" w:rsidRPr="00646024" w:rsidRDefault="000B095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46024">
              <w:rPr>
                <w:rFonts w:ascii="Arial" w:hAnsi="Arial" w:cs="Arial"/>
              </w:rPr>
              <w:t xml:space="preserve">Participer à l’organisation des recrutements par concours des personnels ITRF et organiser le recrutement des enseignants chercheurs. </w:t>
            </w:r>
          </w:p>
          <w:p w:rsidR="000B095C" w:rsidRDefault="000B095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Participer à la préparation des dossiers à l’ordre du jour des instances </w:t>
            </w:r>
            <w:r w:rsidR="00D2689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</w:t>
            </w:r>
            <w:r w:rsidR="00D26890">
              <w:rPr>
                <w:rFonts w:ascii="Arial" w:hAnsi="Arial" w:cs="Arial"/>
              </w:rPr>
              <w:t>onseil d’administration</w:t>
            </w:r>
            <w:r>
              <w:rPr>
                <w:rFonts w:ascii="Arial" w:hAnsi="Arial" w:cs="Arial"/>
              </w:rPr>
              <w:t xml:space="preserve"> et C</w:t>
            </w:r>
            <w:r w:rsidR="00D26890">
              <w:rPr>
                <w:rFonts w:ascii="Arial" w:hAnsi="Arial" w:cs="Arial"/>
              </w:rPr>
              <w:t>onseil scientifique et pédagogique)</w:t>
            </w:r>
            <w:r>
              <w:rPr>
                <w:rFonts w:ascii="Arial" w:hAnsi="Arial" w:cs="Arial"/>
              </w:rPr>
              <w:t xml:space="preserve"> concernant les enseignants chercheurs.</w:t>
            </w:r>
          </w:p>
          <w:p w:rsidR="000B095C" w:rsidRDefault="0064602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Contribuer </w:t>
            </w:r>
            <w:r w:rsidR="000B095C">
              <w:rPr>
                <w:rFonts w:ascii="Arial" w:hAnsi="Arial" w:cs="Arial"/>
              </w:rPr>
              <w:t>à la sécurité et au bien-être des personnels en qualité de co-responsable du</w:t>
            </w:r>
            <w:r w:rsidR="00D26890">
              <w:rPr>
                <w:rFonts w:ascii="Arial" w:hAnsi="Arial" w:cs="Arial"/>
              </w:rPr>
              <w:t xml:space="preserve"> suivi du</w:t>
            </w:r>
            <w:r w:rsidR="000B095C">
              <w:rPr>
                <w:rFonts w:ascii="Arial" w:hAnsi="Arial" w:cs="Arial"/>
              </w:rPr>
              <w:t xml:space="preserve"> CHSCT.</w:t>
            </w:r>
          </w:p>
          <w:p w:rsidR="000B095C" w:rsidRPr="006D1D64" w:rsidRDefault="000B095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Veille réglementaire et technique dans le domaine </w:t>
            </w:r>
            <w:r w:rsidR="00DC336B">
              <w:rPr>
                <w:rFonts w:ascii="Arial" w:hAnsi="Arial" w:cs="Arial"/>
              </w:rPr>
              <w:t>de la gestion des personnels</w:t>
            </w:r>
            <w:r w:rsidR="003256CA">
              <w:rPr>
                <w:rFonts w:ascii="Arial" w:hAnsi="Arial" w:cs="Arial"/>
              </w:rPr>
              <w:t xml:space="preserve"> enseignants, enseignants chercheurs </w:t>
            </w:r>
            <w:r>
              <w:rPr>
                <w:rFonts w:ascii="Arial" w:hAnsi="Arial" w:cs="Arial"/>
              </w:rPr>
              <w:t>et de la paie.</w:t>
            </w:r>
          </w:p>
          <w:p w:rsidR="000B095C" w:rsidRDefault="000B095C">
            <w:pPr>
              <w:pStyle w:val="Paragraphedeliste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6D1D64">
              <w:rPr>
                <w:rFonts w:ascii="Arial" w:hAnsi="Arial" w:cs="Arial"/>
              </w:rPr>
              <w:t>Mise à jour des dossiers administratifs</w:t>
            </w:r>
            <w:r>
              <w:rPr>
                <w:rFonts w:ascii="Arial" w:hAnsi="Arial" w:cs="Arial"/>
              </w:rPr>
              <w:t xml:space="preserve"> des personnels enseignants et enseignants chercheurs.</w:t>
            </w:r>
          </w:p>
          <w:p w:rsidR="002470E5" w:rsidRDefault="002470E5">
            <w:pPr>
              <w:pStyle w:val="Paragraphedeliste"/>
              <w:suppressAutoHyphens w:val="0"/>
              <w:jc w:val="both"/>
              <w:rPr>
                <w:rFonts w:ascii="Arial" w:hAnsi="Arial" w:cs="Arial"/>
              </w:rPr>
            </w:pPr>
          </w:p>
          <w:p w:rsidR="000B095C" w:rsidRPr="00886587" w:rsidRDefault="00DC336B">
            <w:pPr>
              <w:pStyle w:val="Paragraphedeliste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Organisation</w:t>
            </w:r>
            <w:r w:rsidR="000B095C">
              <w:rPr>
                <w:rFonts w:ascii="Arial" w:hAnsi="Arial" w:cs="Arial"/>
              </w:rPr>
              <w:t xml:space="preserve"> des élections professionnelles et du renouvellement des</w:t>
            </w:r>
            <w:r>
              <w:rPr>
                <w:rFonts w:ascii="Arial" w:hAnsi="Arial" w:cs="Arial"/>
              </w:rPr>
              <w:t xml:space="preserve"> membres</w:t>
            </w:r>
            <w:r w:rsidR="000B095C">
              <w:rPr>
                <w:rFonts w:ascii="Arial" w:hAnsi="Arial" w:cs="Arial"/>
              </w:rPr>
              <w:t xml:space="preserve"> de</w:t>
            </w:r>
            <w:r w:rsidR="002470E5">
              <w:rPr>
                <w:rFonts w:ascii="Arial" w:hAnsi="Arial" w:cs="Arial"/>
              </w:rPr>
              <w:t xml:space="preserve">s instances statutaires. </w:t>
            </w:r>
          </w:p>
          <w:p w:rsidR="000B095C" w:rsidRPr="006D1D64" w:rsidRDefault="000B095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D1D64">
              <w:rPr>
                <w:rFonts w:ascii="Arial" w:hAnsi="Arial" w:cs="Arial"/>
              </w:rPr>
              <w:t>Rédaction de notes et courriers administratifs</w:t>
            </w:r>
            <w:r>
              <w:rPr>
                <w:rFonts w:ascii="Arial" w:hAnsi="Arial" w:cs="Arial"/>
              </w:rPr>
              <w:t xml:space="preserve"> et participation à l’écriture de rapports</w:t>
            </w:r>
            <w:r w:rsidR="00DC336B">
              <w:rPr>
                <w:rFonts w:ascii="Arial" w:hAnsi="Arial" w:cs="Arial"/>
              </w:rPr>
              <w:t xml:space="preserve"> (bilan d’activité, bilan social…)</w:t>
            </w:r>
          </w:p>
          <w:p w:rsidR="000B095C" w:rsidRPr="00646024" w:rsidRDefault="000B095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6D1D64">
              <w:rPr>
                <w:rFonts w:ascii="Arial" w:hAnsi="Arial" w:cs="Arial"/>
              </w:rPr>
              <w:t>Information, appui et conseil auprès des personnels de l’institut</w:t>
            </w:r>
            <w:r w:rsidR="002470E5">
              <w:rPr>
                <w:rFonts w:ascii="Arial" w:hAnsi="Arial" w:cs="Arial"/>
              </w:rPr>
              <w:t xml:space="preserve"> et de la direction</w:t>
            </w:r>
            <w:r w:rsidR="00DC336B">
              <w:rPr>
                <w:rFonts w:ascii="Arial" w:hAnsi="Arial" w:cs="Arial"/>
              </w:rPr>
              <w:t>.</w:t>
            </w:r>
          </w:p>
          <w:p w:rsidR="00DC336B" w:rsidRPr="00D02B73" w:rsidRDefault="00DC336B" w:rsidP="00646024">
            <w:pPr>
              <w:ind w:left="72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0B095C" w:rsidRDefault="00DC336B" w:rsidP="00646024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 - </w:t>
            </w:r>
            <w:r w:rsidR="000B095C">
              <w:rPr>
                <w:rFonts w:ascii="Arial" w:hAnsi="Arial" w:cs="Arial"/>
                <w:b/>
                <w:bCs/>
              </w:rPr>
              <w:t>Profil recherché :</w:t>
            </w:r>
          </w:p>
          <w:p w:rsidR="000B095C" w:rsidRDefault="000B095C" w:rsidP="00646024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0B095C" w:rsidRDefault="000B095C" w:rsidP="00646024">
            <w:pPr>
              <w:rPr>
                <w:rFonts w:ascii="Arial" w:hAnsi="Arial" w:cs="Arial"/>
                <w:b/>
                <w:bCs/>
                <w:u w:val="single"/>
              </w:rPr>
            </w:pPr>
            <w:r w:rsidRPr="00C00853">
              <w:rPr>
                <w:rFonts w:ascii="Arial" w:hAnsi="Arial" w:cs="Arial"/>
                <w:b/>
                <w:bCs/>
                <w:u w:val="single"/>
              </w:rPr>
              <w:t>Compétences principales :</w:t>
            </w:r>
          </w:p>
          <w:p w:rsidR="000B095C" w:rsidRDefault="000B095C" w:rsidP="006460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Excellente connaissance des processus d</w:t>
            </w:r>
            <w:r w:rsidR="00DC336B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 xml:space="preserve"> paye à façon</w:t>
            </w:r>
          </w:p>
          <w:p w:rsidR="000B095C" w:rsidRDefault="000B095C" w:rsidP="006460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Maitrise de la réglementation concernant la gestion des personnels enseignants et enseignants chercheurs</w:t>
            </w:r>
          </w:p>
          <w:p w:rsidR="000B095C" w:rsidRDefault="000B095C" w:rsidP="006460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Maitrise du statut de la fonction publique</w:t>
            </w:r>
            <w:r w:rsidR="002470E5">
              <w:rPr>
                <w:rFonts w:ascii="Arial" w:hAnsi="Arial" w:cs="Arial"/>
                <w:bCs/>
              </w:rPr>
              <w:t xml:space="preserve"> d’Etat</w:t>
            </w:r>
          </w:p>
          <w:p w:rsidR="000B095C" w:rsidRDefault="000B095C" w:rsidP="006460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Connaissance de l’enseignement supérieur et de la recherche</w:t>
            </w:r>
          </w:p>
          <w:p w:rsidR="000B095C" w:rsidRDefault="000B095C" w:rsidP="00646024">
            <w:pPr>
              <w:spacing w:after="0"/>
              <w:rPr>
                <w:rFonts w:ascii="Arial" w:hAnsi="Arial" w:cs="Arial"/>
                <w:bCs/>
              </w:rPr>
            </w:pPr>
          </w:p>
          <w:p w:rsidR="000B095C" w:rsidRDefault="000B095C" w:rsidP="00646024">
            <w:pPr>
              <w:rPr>
                <w:rFonts w:ascii="Arial" w:hAnsi="Arial" w:cs="Arial"/>
                <w:b/>
                <w:bCs/>
                <w:u w:val="single"/>
              </w:rPr>
            </w:pPr>
            <w:r w:rsidRPr="00C00853">
              <w:rPr>
                <w:rFonts w:ascii="Arial" w:hAnsi="Arial" w:cs="Arial"/>
                <w:b/>
                <w:bCs/>
                <w:u w:val="single"/>
              </w:rPr>
              <w:t>Compétences techniques 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souhaitées </w:t>
            </w:r>
            <w:r w:rsidRPr="00C00853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:rsidR="000B095C" w:rsidRDefault="000B095C" w:rsidP="006460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Utilisation du logiciel spécifique « girafe »</w:t>
            </w:r>
          </w:p>
          <w:p w:rsidR="000B095C" w:rsidRDefault="000B095C" w:rsidP="006460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Connaissance du logiciel RH « Mangue »</w:t>
            </w:r>
          </w:p>
          <w:p w:rsidR="000B095C" w:rsidRDefault="000B095C" w:rsidP="006460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Connaissance de l’application Galaxie des personnels</w:t>
            </w:r>
            <w:r w:rsidR="002470E5">
              <w:rPr>
                <w:rFonts w:ascii="Arial" w:hAnsi="Arial" w:cs="Arial"/>
                <w:bCs/>
              </w:rPr>
              <w:t xml:space="preserve"> du supérieur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DC336B" w:rsidRDefault="00DC336B" w:rsidP="00646024">
            <w:pPr>
              <w:spacing w:after="0"/>
              <w:rPr>
                <w:rFonts w:ascii="Arial" w:hAnsi="Arial" w:cs="Arial"/>
                <w:bCs/>
              </w:rPr>
            </w:pPr>
          </w:p>
          <w:p w:rsidR="00DC336B" w:rsidRPr="00646024" w:rsidRDefault="00DC336B" w:rsidP="00646024">
            <w:pPr>
              <w:rPr>
                <w:rFonts w:ascii="Arial" w:hAnsi="Arial" w:cs="Arial"/>
                <w:b/>
                <w:bCs/>
                <w:u w:val="single"/>
              </w:rPr>
            </w:pPr>
            <w:r w:rsidRPr="00646024">
              <w:rPr>
                <w:rFonts w:ascii="Arial" w:hAnsi="Arial" w:cs="Arial"/>
                <w:b/>
                <w:bCs/>
                <w:u w:val="single"/>
              </w:rPr>
              <w:t xml:space="preserve">Compétences générales demandées : </w:t>
            </w:r>
          </w:p>
          <w:p w:rsidR="000B095C" w:rsidRDefault="000B095C" w:rsidP="006460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Maitrise des logiciels de bureautique  </w:t>
            </w:r>
          </w:p>
          <w:p w:rsidR="000B095C" w:rsidRDefault="000B095C" w:rsidP="006460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Maitrise des techniques de communication écrite (courrier, rapport, procès-verbaux…) et orale</w:t>
            </w:r>
          </w:p>
          <w:p w:rsidR="000B095C" w:rsidRDefault="000B095C" w:rsidP="00646024">
            <w:pPr>
              <w:spacing w:after="0"/>
              <w:rPr>
                <w:rFonts w:ascii="Arial" w:hAnsi="Arial" w:cs="Arial"/>
                <w:bCs/>
              </w:rPr>
            </w:pPr>
          </w:p>
          <w:p w:rsidR="000B095C" w:rsidRDefault="000B095C" w:rsidP="00646024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Savoir-faire :</w:t>
            </w:r>
          </w:p>
          <w:p w:rsidR="000B095C" w:rsidRDefault="000B095C" w:rsidP="006460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Rapidité d’analyse</w:t>
            </w:r>
            <w:r w:rsidR="00646024">
              <w:rPr>
                <w:rFonts w:ascii="Arial" w:hAnsi="Arial" w:cs="Arial"/>
                <w:bCs/>
              </w:rPr>
              <w:t xml:space="preserve"> et d’exécution</w:t>
            </w:r>
            <w:r>
              <w:rPr>
                <w:rFonts w:ascii="Arial" w:hAnsi="Arial" w:cs="Arial"/>
                <w:bCs/>
              </w:rPr>
              <w:t>, rigueur, pédagogie, travail dans l’urgence, gestion des priorités, adaptabilité, qualités rédactionnelles, esprit d’équipe, capacité à rendre compte</w:t>
            </w:r>
          </w:p>
          <w:p w:rsidR="000B095C" w:rsidRDefault="000B095C" w:rsidP="006460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</w:t>
            </w:r>
          </w:p>
          <w:p w:rsidR="000B095C" w:rsidRDefault="000B095C" w:rsidP="00646024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Savoir être : </w:t>
            </w:r>
          </w:p>
          <w:p w:rsidR="00646024" w:rsidRDefault="000B095C" w:rsidP="00646024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Disponibilité, capacité à savoir communiquer et diffuser, bon relationnel, </w:t>
            </w:r>
            <w:r w:rsidR="00DC336B">
              <w:rPr>
                <w:rFonts w:ascii="Arial" w:hAnsi="Arial" w:cs="Arial"/>
                <w:bCs/>
              </w:rPr>
              <w:t>discrétion</w:t>
            </w:r>
            <w:r>
              <w:rPr>
                <w:rFonts w:ascii="Arial" w:hAnsi="Arial" w:cs="Arial"/>
                <w:bCs/>
              </w:rPr>
              <w:t>, aptitude au travail en équipe, polyvalence</w:t>
            </w:r>
            <w:r w:rsidR="00646024">
              <w:rPr>
                <w:rFonts w:ascii="Arial" w:hAnsi="Arial" w:cs="Arial"/>
                <w:bCs/>
              </w:rPr>
              <w:t>.</w:t>
            </w:r>
          </w:p>
          <w:p w:rsidR="00646024" w:rsidRDefault="00646024" w:rsidP="00646024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2470E5" w:rsidRDefault="002470E5" w:rsidP="00646024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646024" w:rsidRDefault="00646024" w:rsidP="00646024">
            <w:pPr>
              <w:spacing w:after="0"/>
              <w:rPr>
                <w:rFonts w:ascii="Arial" w:hAnsi="Arial" w:cs="Arial"/>
                <w:bCs/>
              </w:rPr>
            </w:pPr>
            <w:r w:rsidRPr="00646024">
              <w:rPr>
                <w:rFonts w:ascii="Arial" w:hAnsi="Arial" w:cs="Arial"/>
                <w:b/>
                <w:bCs/>
              </w:rPr>
              <w:t xml:space="preserve">III – Recrutement : </w:t>
            </w:r>
          </w:p>
          <w:p w:rsidR="00646024" w:rsidRPr="00646024" w:rsidRDefault="00646024" w:rsidP="00646024">
            <w:pPr>
              <w:jc w:val="both"/>
              <w:rPr>
                <w:rFonts w:ascii="Arial" w:hAnsi="Arial" w:cs="Arial"/>
              </w:rPr>
            </w:pPr>
            <w:r w:rsidRPr="00646024">
              <w:rPr>
                <w:rFonts w:ascii="Arial" w:hAnsi="Arial" w:cs="Arial"/>
              </w:rPr>
              <w:t>Titulaire</w:t>
            </w:r>
            <w:r>
              <w:rPr>
                <w:rFonts w:ascii="Arial" w:hAnsi="Arial" w:cs="Arial"/>
              </w:rPr>
              <w:t xml:space="preserve"> de catégorie B ou agent contractuel en CDD.</w:t>
            </w:r>
          </w:p>
          <w:p w:rsidR="00E0730F" w:rsidRDefault="00E0730F" w:rsidP="00646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poste pourrait convenir à un gestionnaire RH, de formations ou d’examens pouvant faire état d’une première expérience réussie dans au moins l’un de ces domaines.</w:t>
            </w:r>
            <w:r w:rsidR="00F00B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Pièces à fournir : CV + lettre de motivation</w:t>
            </w:r>
          </w:p>
          <w:p w:rsidR="000B095C" w:rsidRPr="006D1D64" w:rsidRDefault="000B095C" w:rsidP="006460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C66485" w:rsidRDefault="00C66485" w:rsidP="00646024"/>
    <w:sectPr w:rsidR="00C6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20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1A6"/>
    <w:multiLevelType w:val="hybridMultilevel"/>
    <w:tmpl w:val="74BA8080"/>
    <w:lvl w:ilvl="0" w:tplc="2C0896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5C"/>
    <w:rsid w:val="000B095C"/>
    <w:rsid w:val="00155A17"/>
    <w:rsid w:val="002470E5"/>
    <w:rsid w:val="003256CA"/>
    <w:rsid w:val="00506050"/>
    <w:rsid w:val="005F69E5"/>
    <w:rsid w:val="00646024"/>
    <w:rsid w:val="00812CBD"/>
    <w:rsid w:val="008E50AA"/>
    <w:rsid w:val="00C66485"/>
    <w:rsid w:val="00D26890"/>
    <w:rsid w:val="00DC336B"/>
    <w:rsid w:val="00E0730F"/>
    <w:rsid w:val="00F00BAE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879D-190F-4CE1-AAD4-99F02BF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95C"/>
    <w:pPr>
      <w:spacing w:after="200" w:afterAutospacing="0" w:line="276" w:lineRule="auto"/>
    </w:pPr>
    <w:rPr>
      <w:rFonts w:ascii="Calibri" w:eastAsia="Calibri" w:hAnsi="Calibri" w:cs="Times New Roman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095C"/>
    <w:pPr>
      <w:keepNext/>
      <w:keepLines/>
      <w:spacing w:before="40" w:after="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0B095C"/>
    <w:rPr>
      <w:rFonts w:ascii="Cambria" w:eastAsia="MS Gothic" w:hAnsi="Cambria" w:cs="Times New Roman"/>
      <w:i/>
      <w:iCs/>
      <w:color w:val="365F91"/>
    </w:rPr>
  </w:style>
  <w:style w:type="paragraph" w:styleId="Paragraphedeliste">
    <w:name w:val="List Paragraph"/>
    <w:basedOn w:val="Normal"/>
    <w:uiPriority w:val="34"/>
    <w:qFormat/>
    <w:rsid w:val="000B095C"/>
    <w:pPr>
      <w:suppressAutoHyphens/>
      <w:ind w:left="720"/>
      <w:contextualSpacing/>
    </w:pPr>
    <w:rPr>
      <w:rFonts w:eastAsia="Arial Unicode MS" w:cs="font320"/>
      <w:kern w:val="1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9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C6D40E33</Template>
  <TotalTime>0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INSHEA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MAGRIS</dc:creator>
  <cp:keywords/>
  <dc:description/>
  <cp:lastModifiedBy>Christelle BOUFFORT</cp:lastModifiedBy>
  <cp:revision>2</cp:revision>
  <cp:lastPrinted>2019-03-15T06:54:00Z</cp:lastPrinted>
  <dcterms:created xsi:type="dcterms:W3CDTF">2019-03-15T06:54:00Z</dcterms:created>
  <dcterms:modified xsi:type="dcterms:W3CDTF">2019-03-15T06:54:00Z</dcterms:modified>
</cp:coreProperties>
</file>