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9A5B" w14:textId="77777777" w:rsidR="00D17E53" w:rsidRPr="00C676D2" w:rsidRDefault="00D17E53" w:rsidP="00E65E35">
      <w:pPr>
        <w:pStyle w:val="Titre1"/>
        <w:rPr>
          <w:rFonts w:eastAsia="Times New Roman"/>
          <w:lang w:eastAsia="fr-FR"/>
        </w:rPr>
      </w:pPr>
      <w:r w:rsidRPr="00C676D2">
        <w:rPr>
          <w:rFonts w:eastAsia="Times New Roman"/>
          <w:lang w:eastAsia="fr-FR"/>
        </w:rPr>
        <w:t>Éditorial</w:t>
      </w:r>
    </w:p>
    <w:p w14:paraId="2F7A496F" w14:textId="38162633" w:rsidR="00D17E53" w:rsidRPr="00E65E35" w:rsidRDefault="00D17E53" w:rsidP="00E65E35">
      <w:pPr>
        <w:pStyle w:val="Titre2"/>
      </w:pPr>
      <w:r w:rsidRPr="00E65E35">
        <w:t>Hervé Benoit </w:t>
      </w:r>
      <w:r w:rsidR="00E65E35" w:rsidRPr="00E65E35">
        <w:br/>
      </w:r>
      <w:r w:rsidRPr="00E65E35">
        <w:t>Rédacteur en chef</w:t>
      </w:r>
    </w:p>
    <w:p w14:paraId="015FFFE5" w14:textId="77777777" w:rsidR="00D17E53" w:rsidRPr="004B585B" w:rsidRDefault="00D17E53" w:rsidP="00E65E35">
      <w:pPr>
        <w:rPr>
          <w:rFonts w:eastAsia="Times New Roman" w:cs="Times New Roman"/>
          <w:color w:val="000000"/>
          <w:sz w:val="20"/>
          <w:szCs w:val="20"/>
          <w:lang w:eastAsia="fr-FR"/>
        </w:rPr>
      </w:pPr>
      <w:r w:rsidRPr="004B585B">
        <w:rPr>
          <w:rFonts w:eastAsia="Times New Roman" w:cs="Arial"/>
          <w:b/>
          <w:bCs/>
          <w:color w:val="000000"/>
          <w:sz w:val="20"/>
          <w:szCs w:val="20"/>
          <w:lang w:eastAsia="fr-FR"/>
        </w:rPr>
        <w:t>Dans le contexte d’individualisme démocratique</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w:t>
      </w:r>
      <w:proofErr w:type="spellStart"/>
      <w:r w:rsidRPr="004B585B">
        <w:rPr>
          <w:rFonts w:eastAsia="Times New Roman" w:cs="Times New Roman"/>
          <w:color w:val="000000"/>
          <w:sz w:val="20"/>
          <w:szCs w:val="20"/>
          <w:lang w:eastAsia="fr-FR"/>
        </w:rPr>
        <w:t>Gardou</w:t>
      </w:r>
      <w:proofErr w:type="spellEnd"/>
      <w:r w:rsidRPr="004B585B">
        <w:rPr>
          <w:rFonts w:eastAsia="Times New Roman" w:cs="Times New Roman"/>
          <w:color w:val="000000"/>
          <w:sz w:val="20"/>
          <w:szCs w:val="20"/>
          <w:lang w:eastAsia="fr-FR"/>
        </w:rPr>
        <w:t>, 2002, p.</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12) et de démocratisation sanitaire qui caractérise nos sociétés modernes et contemporaines, hors régimes autoritaires, la question de l’autodétermination, dans ses dimensions d’autonomie comportementale, d’autorégulation, d’</w:t>
      </w:r>
      <w:proofErr w:type="spellStart"/>
      <w:r w:rsidRPr="004B585B">
        <w:rPr>
          <w:rFonts w:eastAsia="Times New Roman" w:cs="Times New Roman"/>
          <w:i/>
          <w:iCs/>
          <w:color w:val="000000"/>
          <w:sz w:val="20"/>
          <w:szCs w:val="20"/>
          <w:lang w:eastAsia="fr-FR"/>
        </w:rPr>
        <w:t>empowerment</w:t>
      </w:r>
      <w:proofErr w:type="spellEnd"/>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et d’autoréalisation (</w:t>
      </w:r>
      <w:proofErr w:type="spellStart"/>
      <w:r w:rsidRPr="004B585B">
        <w:rPr>
          <w:rFonts w:eastAsia="Times New Roman" w:cs="Times New Roman"/>
          <w:color w:val="000000"/>
          <w:sz w:val="20"/>
          <w:szCs w:val="20"/>
          <w:lang w:eastAsia="fr-FR"/>
        </w:rPr>
        <w:t>Wehmeyer</w:t>
      </w:r>
      <w:proofErr w:type="spellEnd"/>
      <w:r w:rsidRPr="004B585B">
        <w:rPr>
          <w:rFonts w:eastAsia="Times New Roman" w:cs="Times New Roman"/>
          <w:color w:val="000000"/>
          <w:sz w:val="20"/>
          <w:szCs w:val="20"/>
          <w:lang w:eastAsia="fr-FR"/>
        </w:rPr>
        <w:t>, 1999), a pris pour les personnes considérées comme handicapées un relief tout particulier. La notion d’usager, nouvelle figure de la relation entre l’individu et l’action publique (</w:t>
      </w:r>
      <w:proofErr w:type="spellStart"/>
      <w:r w:rsidRPr="004B585B">
        <w:rPr>
          <w:rFonts w:eastAsia="Times New Roman" w:cs="Times New Roman"/>
          <w:color w:val="000000"/>
          <w:sz w:val="20"/>
          <w:szCs w:val="20"/>
          <w:lang w:eastAsia="fr-FR"/>
        </w:rPr>
        <w:t>Mazereau</w:t>
      </w:r>
      <w:proofErr w:type="spellEnd"/>
      <w:r w:rsidRPr="004B585B">
        <w:rPr>
          <w:rFonts w:eastAsia="Times New Roman" w:cs="Times New Roman"/>
          <w:color w:val="000000"/>
          <w:sz w:val="20"/>
          <w:szCs w:val="20"/>
          <w:lang w:eastAsia="fr-FR"/>
        </w:rPr>
        <w:t xml:space="preserve"> et </w:t>
      </w:r>
      <w:proofErr w:type="spellStart"/>
      <w:r w:rsidRPr="004B585B">
        <w:rPr>
          <w:rFonts w:eastAsia="Times New Roman" w:cs="Times New Roman"/>
          <w:color w:val="000000"/>
          <w:sz w:val="20"/>
          <w:szCs w:val="20"/>
          <w:lang w:eastAsia="fr-FR"/>
        </w:rPr>
        <w:t>Pellissier</w:t>
      </w:r>
      <w:proofErr w:type="spellEnd"/>
      <w:r w:rsidRPr="004B585B">
        <w:rPr>
          <w:rFonts w:eastAsia="Times New Roman" w:cs="Times New Roman"/>
          <w:color w:val="000000"/>
          <w:sz w:val="20"/>
          <w:szCs w:val="20"/>
          <w:lang w:eastAsia="fr-FR"/>
        </w:rPr>
        <w:t>, 2018) qui tend à être remplacée par celle de personne concernée, prend en effet sa source dans les droits du citoyen et dans l’exigence de qualité des prestations qui lui sont dues. Ce régime du droit – notamment droit de libre choix entre les prestations à domicile ou en établissement et de participation directe au projet d’accueil et d’accompagnement (loi 2002-2 du 2</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janvier 2002) – complété par l’obligation d’évaluer les besoins de compensation de la personne à partir de son projet de vie (loi 2005-102 du 11</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février</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2005), impose aux institutions médico-sociales un changement radical de culture. Ce sont les besoins concrets des personnes concernées, établis à partir de leurs choix de vie, qui doivent être pris en considération et non plus des modèles d’individus abstraits, appréhendés à travers des catégorisations nosographiques et surtout réglementaires (celles des Annexes XXIV au décret de 1956 revues en 1988) et visés par des modalités de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prise en charge</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prédéfinies.</w:t>
      </w:r>
    </w:p>
    <w:p w14:paraId="5AE89C20" w14:textId="73579D05" w:rsidR="00D17E53" w:rsidRPr="004B585B" w:rsidRDefault="00D17E53" w:rsidP="00E65E35">
      <w:pPr>
        <w:rPr>
          <w:rFonts w:eastAsia="Times New Roman" w:cs="Times New Roman"/>
          <w:color w:val="000000"/>
          <w:sz w:val="20"/>
          <w:szCs w:val="20"/>
          <w:lang w:eastAsia="fr-FR"/>
        </w:rPr>
      </w:pPr>
      <w:r w:rsidRPr="004B585B">
        <w:rPr>
          <w:rFonts w:eastAsia="Times New Roman" w:cs="Times New Roman"/>
          <w:color w:val="000000"/>
          <w:sz w:val="20"/>
          <w:szCs w:val="20"/>
          <w:lang w:eastAsia="fr-FR"/>
        </w:rPr>
        <w:t>Ainsi l’exercice par les personnes de leur faculté d’autodétermination se trouve-t-elle placée au cœur de l’action publique. La question qui se pose alors est celle des conditions permettant à la personne de devenir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l’agent causal de sa propre existence</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xml:space="preserve">» (Fontana-Lana, 2020), puisque les chercheurs s’accordent généralement à considérer que ni l’autonomie, ni l’autodétermination ne constituent des caractéristiques personnelles intrinsèques, mais que leur réalisation effective peut être empêchée ou favorisée et dépend des facteurs </w:t>
      </w:r>
      <w:proofErr w:type="spellStart"/>
      <w:r w:rsidRPr="004B585B">
        <w:rPr>
          <w:rFonts w:eastAsia="Times New Roman" w:cs="Times New Roman"/>
          <w:color w:val="000000"/>
          <w:sz w:val="20"/>
          <w:szCs w:val="20"/>
          <w:lang w:eastAsia="fr-FR"/>
        </w:rPr>
        <w:t>capacitants</w:t>
      </w:r>
      <w:proofErr w:type="spellEnd"/>
      <w:r w:rsidRPr="004B585B">
        <w:rPr>
          <w:rFonts w:eastAsia="Times New Roman" w:cs="Times New Roman"/>
          <w:color w:val="000000"/>
          <w:sz w:val="20"/>
          <w:szCs w:val="20"/>
          <w:lang w:eastAsia="fr-FR"/>
        </w:rPr>
        <w:t xml:space="preserve"> ou incapacitants de l’environnement. Une dialectique étroite s’établit donc entre les facteurs environnementaux et les capacités personnelles, même si les limitations individuelles peuvent influer négativement sur l’autodétermination (</w:t>
      </w:r>
      <w:proofErr w:type="spellStart"/>
      <w:r w:rsidRPr="004B585B">
        <w:rPr>
          <w:rFonts w:eastAsia="Times New Roman" w:cs="Times New Roman"/>
          <w:color w:val="000000"/>
          <w:sz w:val="20"/>
          <w:szCs w:val="20"/>
          <w:lang w:eastAsia="fr-FR"/>
        </w:rPr>
        <w:t>Geurts</w:t>
      </w:r>
      <w:proofErr w:type="spellEnd"/>
      <w:r w:rsidRPr="004B585B">
        <w:rPr>
          <w:rFonts w:eastAsia="Times New Roman" w:cs="Times New Roman"/>
          <w:color w:val="000000"/>
          <w:sz w:val="20"/>
          <w:szCs w:val="20"/>
          <w:lang w:eastAsia="fr-FR"/>
        </w:rPr>
        <w:t xml:space="preserve"> et </w:t>
      </w:r>
      <w:proofErr w:type="spellStart"/>
      <w:r w:rsidRPr="004B585B">
        <w:rPr>
          <w:rFonts w:eastAsia="Times New Roman" w:cs="Times New Roman"/>
          <w:color w:val="000000"/>
          <w:sz w:val="20"/>
          <w:szCs w:val="20"/>
          <w:lang w:eastAsia="fr-FR"/>
        </w:rPr>
        <w:t>Haelewick</w:t>
      </w:r>
      <w:proofErr w:type="spellEnd"/>
      <w:r w:rsidRPr="004B585B">
        <w:rPr>
          <w:rFonts w:eastAsia="Times New Roman" w:cs="Times New Roman"/>
          <w:color w:val="000000"/>
          <w:sz w:val="20"/>
          <w:szCs w:val="20"/>
          <w:lang w:eastAsia="fr-FR"/>
        </w:rPr>
        <w:t>, 2022). En devenant cibles d’interventions, objets de soins, corps à réparer, puzzle humain incomplet à reconstituer</w:t>
      </w:r>
      <w:r w:rsidR="00E65E35" w:rsidRPr="004B585B">
        <w:rPr>
          <w:rFonts w:eastAsia="Times New Roman" w:cs="Times New Roman"/>
          <w:color w:val="000000"/>
          <w:sz w:val="20"/>
          <w:szCs w:val="20"/>
          <w:lang w:eastAsia="fr-FR"/>
        </w:rPr>
        <w:t xml:space="preserve"> («</w:t>
      </w:r>
      <w:r w:rsidR="00E65E35" w:rsidRPr="004B585B">
        <w:rPr>
          <w:rFonts w:ascii="Calibri" w:eastAsia="Times New Roman" w:hAnsi="Calibri" w:cs="Calibri"/>
          <w:color w:val="000000"/>
          <w:sz w:val="20"/>
          <w:szCs w:val="20"/>
          <w:lang w:eastAsia="fr-FR"/>
        </w:rPr>
        <w:t> </w:t>
      </w:r>
      <w:proofErr w:type="spellStart"/>
      <w:r w:rsidR="00E65E35" w:rsidRPr="004B585B">
        <w:rPr>
          <w:rFonts w:eastAsia="Times New Roman" w:cs="Times New Roman"/>
          <w:i/>
          <w:iCs/>
          <w:color w:val="000000"/>
          <w:sz w:val="20"/>
          <w:szCs w:val="20"/>
          <w:lang w:eastAsia="fr-FR"/>
        </w:rPr>
        <w:t>human</w:t>
      </w:r>
      <w:proofErr w:type="spellEnd"/>
      <w:r w:rsidR="00E65E35" w:rsidRPr="004B585B">
        <w:rPr>
          <w:rFonts w:eastAsia="Times New Roman" w:cs="Times New Roman"/>
          <w:i/>
          <w:iCs/>
          <w:color w:val="000000"/>
          <w:sz w:val="20"/>
          <w:szCs w:val="20"/>
          <w:lang w:eastAsia="fr-FR"/>
        </w:rPr>
        <w:t xml:space="preserve"> puzzle</w:t>
      </w:r>
      <w:r w:rsidR="00E65E35" w:rsidRPr="004B585B">
        <w:rPr>
          <w:rFonts w:ascii="Calibri" w:eastAsia="Times New Roman" w:hAnsi="Calibri" w:cs="Calibri"/>
          <w:color w:val="000000"/>
          <w:sz w:val="20"/>
          <w:szCs w:val="20"/>
          <w:lang w:eastAsia="fr-FR"/>
        </w:rPr>
        <w:t> </w:t>
      </w:r>
      <w:r w:rsidR="00E65E35" w:rsidRPr="004B585B">
        <w:rPr>
          <w:rFonts w:eastAsia="Times New Roman" w:cs="Times New Roman"/>
          <w:color w:val="000000"/>
          <w:sz w:val="20"/>
          <w:szCs w:val="20"/>
          <w:lang w:eastAsia="fr-FR"/>
        </w:rPr>
        <w:t>» (article publié en anglais), puisqu’il s’agit d’appliquer «</w:t>
      </w:r>
      <w:r w:rsidR="00E65E35" w:rsidRPr="004B585B">
        <w:rPr>
          <w:rFonts w:ascii="Calibri" w:eastAsia="Times New Roman" w:hAnsi="Calibri" w:cs="Calibri"/>
          <w:color w:val="000000"/>
          <w:sz w:val="20"/>
          <w:szCs w:val="20"/>
          <w:lang w:eastAsia="fr-FR"/>
        </w:rPr>
        <w:t> </w:t>
      </w:r>
      <w:r w:rsidR="00E65E35" w:rsidRPr="004B585B">
        <w:rPr>
          <w:rFonts w:eastAsia="Times New Roman" w:cs="Times New Roman"/>
          <w:color w:val="000000"/>
          <w:sz w:val="20"/>
          <w:szCs w:val="20"/>
          <w:lang w:eastAsia="fr-FR"/>
        </w:rPr>
        <w:t xml:space="preserve">la pièce manquante d’une organisation physiologique </w:t>
      </w:r>
      <w:proofErr w:type="gramStart"/>
      <w:r w:rsidR="00E65E35" w:rsidRPr="004B585B">
        <w:rPr>
          <w:rFonts w:eastAsia="Times New Roman" w:cs="Times New Roman"/>
          <w:color w:val="000000"/>
          <w:sz w:val="20"/>
          <w:szCs w:val="20"/>
          <w:lang w:eastAsia="fr-FR"/>
        </w:rPr>
        <w:t>déficitaire</w:t>
      </w:r>
      <w:proofErr w:type="gramEnd"/>
      <w:r w:rsidR="00E65E35" w:rsidRPr="004B585B">
        <w:rPr>
          <w:rFonts w:ascii="Calibri" w:eastAsia="Times New Roman" w:hAnsi="Calibri" w:cs="Calibri"/>
          <w:color w:val="000000"/>
          <w:sz w:val="20"/>
          <w:szCs w:val="20"/>
          <w:lang w:eastAsia="fr-FR"/>
        </w:rPr>
        <w:t> </w:t>
      </w:r>
      <w:r w:rsidR="00E65E35" w:rsidRPr="004B585B">
        <w:rPr>
          <w:rFonts w:eastAsia="Times New Roman" w:cs="Times New Roman"/>
          <w:color w:val="000000"/>
          <w:sz w:val="20"/>
          <w:szCs w:val="20"/>
          <w:lang w:eastAsia="fr-FR"/>
        </w:rPr>
        <w:t xml:space="preserve">») </w:t>
      </w:r>
      <w:r w:rsidRPr="004B585B">
        <w:rPr>
          <w:rFonts w:eastAsia="Times New Roman" w:cs="Times New Roman"/>
          <w:color w:val="000000"/>
          <w:sz w:val="20"/>
          <w:szCs w:val="20"/>
          <w:lang w:eastAsia="fr-FR"/>
        </w:rPr>
        <w:t>(Benoit, 2016, p.</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xml:space="preserve">84), les personnes peuvent être privées de la possibilité d’autodétermination. C’est le sens de la question posée par Marcel </w:t>
      </w:r>
      <w:proofErr w:type="spellStart"/>
      <w:r w:rsidRPr="004B585B">
        <w:rPr>
          <w:rFonts w:eastAsia="Times New Roman" w:cs="Times New Roman"/>
          <w:color w:val="000000"/>
          <w:sz w:val="20"/>
          <w:szCs w:val="20"/>
          <w:lang w:eastAsia="fr-FR"/>
        </w:rPr>
        <w:t>Nuss</w:t>
      </w:r>
      <w:proofErr w:type="spellEnd"/>
      <w:r w:rsidRPr="004B585B">
        <w:rPr>
          <w:rFonts w:eastAsia="Times New Roman" w:cs="Times New Roman"/>
          <w:color w:val="000000"/>
          <w:sz w:val="20"/>
          <w:szCs w:val="20"/>
          <w:lang w:eastAsia="fr-FR"/>
        </w:rPr>
        <w:t xml:space="preserve"> en conclusion du dossier spécial de ce numéro :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 xml:space="preserve">Peut-on parler d’autodétermination si sa vie est rythmée </w:t>
      </w:r>
      <w:r w:rsidRPr="004B585B">
        <w:rPr>
          <w:rFonts w:eastAsia="Times New Roman" w:cs="Times New Roman"/>
          <w:i/>
          <w:iCs/>
          <w:color w:val="000000"/>
          <w:sz w:val="20"/>
          <w:szCs w:val="20"/>
          <w:lang w:eastAsia="fr-FR"/>
        </w:rPr>
        <w:lastRenderedPageBreak/>
        <w:t>et contingentée par le fonctionnement de l’établissement ?</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qui fait écho à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l’établissement total</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tel que défini par Goffman.</w:t>
      </w:r>
    </w:p>
    <w:p w14:paraId="28BA70B6" w14:textId="3E164A06" w:rsidR="00D17E53" w:rsidRPr="004B585B" w:rsidRDefault="00D17E53" w:rsidP="00E65E35">
      <w:pPr>
        <w:rPr>
          <w:rFonts w:eastAsia="Times New Roman" w:cs="Times New Roman"/>
          <w:color w:val="000000"/>
          <w:sz w:val="20"/>
          <w:szCs w:val="20"/>
          <w:lang w:eastAsia="fr-FR"/>
        </w:rPr>
      </w:pPr>
      <w:r w:rsidRPr="004B585B">
        <w:rPr>
          <w:rFonts w:eastAsia="Times New Roman" w:cs="Times New Roman"/>
          <w:color w:val="000000"/>
          <w:sz w:val="20"/>
          <w:szCs w:val="20"/>
          <w:lang w:eastAsia="fr-FR"/>
        </w:rPr>
        <w:t xml:space="preserve">Si les risques d’empêchements de l’autodétermination constituent la partie la plus visible, des formes dégradées de son exercice peuvent être identifiées. Par exemple lorsque l’ambition des professionnels de santé de </w:t>
      </w:r>
      <w:proofErr w:type="spellStart"/>
      <w:r w:rsidRPr="004B585B">
        <w:rPr>
          <w:rFonts w:eastAsia="Times New Roman" w:cs="Times New Roman"/>
          <w:color w:val="000000"/>
          <w:sz w:val="20"/>
          <w:szCs w:val="20"/>
          <w:lang w:eastAsia="fr-FR"/>
        </w:rPr>
        <w:t>co</w:t>
      </w:r>
      <w:proofErr w:type="spellEnd"/>
      <w:r w:rsidRPr="004B585B">
        <w:rPr>
          <w:rFonts w:eastAsia="Times New Roman" w:cs="Times New Roman"/>
          <w:color w:val="000000"/>
          <w:sz w:val="20"/>
          <w:szCs w:val="20"/>
          <w:lang w:eastAsia="fr-FR"/>
        </w:rPr>
        <w:t>-construire le projet de vie avec la personne concernée se transforme en une tentative d’obtenir son adhésion, la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servitude</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de celle-ci (</w:t>
      </w:r>
      <w:proofErr w:type="spellStart"/>
      <w:r w:rsidRPr="004B585B">
        <w:rPr>
          <w:rFonts w:eastAsia="Times New Roman" w:cs="Times New Roman"/>
          <w:color w:val="000000"/>
          <w:sz w:val="20"/>
          <w:szCs w:val="20"/>
          <w:lang w:eastAsia="fr-FR"/>
        </w:rPr>
        <w:t>Ebersold</w:t>
      </w:r>
      <w:proofErr w:type="spellEnd"/>
      <w:r w:rsidRPr="004B585B">
        <w:rPr>
          <w:rFonts w:eastAsia="Times New Roman" w:cs="Times New Roman"/>
          <w:color w:val="000000"/>
          <w:sz w:val="20"/>
          <w:szCs w:val="20"/>
          <w:lang w:eastAsia="fr-FR"/>
        </w:rPr>
        <w:t xml:space="preserve">, 2013) se </w:t>
      </w:r>
      <w:proofErr w:type="spellStart"/>
      <w:r w:rsidRPr="004B585B">
        <w:rPr>
          <w:rFonts w:eastAsia="Times New Roman" w:cs="Times New Roman"/>
          <w:color w:val="000000"/>
          <w:sz w:val="20"/>
          <w:szCs w:val="20"/>
          <w:lang w:eastAsia="fr-FR"/>
        </w:rPr>
        <w:t>devant</w:t>
      </w:r>
      <w:proofErr w:type="spellEnd"/>
      <w:r w:rsidRPr="004B585B">
        <w:rPr>
          <w:rFonts w:eastAsia="Times New Roman" w:cs="Times New Roman"/>
          <w:color w:val="000000"/>
          <w:sz w:val="20"/>
          <w:szCs w:val="20"/>
          <w:lang w:eastAsia="fr-FR"/>
        </w:rPr>
        <w:t xml:space="preserve"> d’être consentie, dans le cadre de la démocratie sanitaire. Ou lorsque les professionnels estiment que leurs savoirs spécialisés et leur connaissance des filières du secteur médico-social leur permettent de prédire au moins à grands traits la trajectoire de formation et de vie d’un enfant de moins de 10 ans, en fonction du diagnostic posé. À une telle conception, Andrea </w:t>
      </w:r>
      <w:proofErr w:type="spellStart"/>
      <w:r w:rsidRPr="004B585B">
        <w:rPr>
          <w:rFonts w:eastAsia="Times New Roman" w:cs="Times New Roman"/>
          <w:color w:val="000000"/>
          <w:sz w:val="20"/>
          <w:szCs w:val="20"/>
          <w:lang w:eastAsia="fr-FR"/>
        </w:rPr>
        <w:t>Canevaro</w:t>
      </w:r>
      <w:proofErr w:type="spellEnd"/>
      <w:r w:rsidRPr="004B585B">
        <w:rPr>
          <w:rFonts w:eastAsia="Times New Roman" w:cs="Times New Roman"/>
          <w:color w:val="000000"/>
          <w:sz w:val="20"/>
          <w:szCs w:val="20"/>
          <w:lang w:eastAsia="fr-FR"/>
        </w:rPr>
        <w:t xml:space="preserve"> rétorque qu’il est inacceptable que des personnes puissent être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piégées dans une définition</w:t>
      </w:r>
      <w:r w:rsidRPr="004B585B">
        <w:rPr>
          <w:rFonts w:ascii="Calibri" w:eastAsia="Times New Roman" w:hAnsi="Calibri" w:cs="Calibri"/>
          <w:i/>
          <w:iCs/>
          <w:color w:val="000000"/>
          <w:sz w:val="20"/>
          <w:szCs w:val="20"/>
          <w:lang w:eastAsia="fr-FR"/>
        </w:rPr>
        <w:t> </w:t>
      </w:r>
      <w:r w:rsidRPr="004B585B">
        <w:rPr>
          <w:rFonts w:eastAsia="Times New Roman" w:cs="Times New Roman"/>
          <w:color w:val="000000"/>
          <w:sz w:val="20"/>
          <w:szCs w:val="20"/>
          <w:lang w:eastAsia="fr-FR"/>
        </w:rPr>
        <w:t>» et d’ajouter : «</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Est-il acceptable que ceux qui ont fait l’objet d’un diagnostic doivent vivre en relation exclusive avec le spécialiste de ce diagnostic ?</w:t>
      </w:r>
      <w:r w:rsidRPr="004B585B">
        <w:rPr>
          <w:rFonts w:ascii="Calibri" w:eastAsia="Times New Roman" w:hAnsi="Calibri" w:cs="Calibri"/>
          <w:i/>
          <w:iCs/>
          <w:color w:val="000000"/>
          <w:sz w:val="20"/>
          <w:szCs w:val="20"/>
          <w:lang w:eastAsia="fr-FR"/>
        </w:rPr>
        <w:t> </w:t>
      </w:r>
      <w:r w:rsidRPr="004B585B">
        <w:rPr>
          <w:rFonts w:eastAsia="Times New Roman" w:cs="Times New Roman"/>
          <w:color w:val="000000"/>
          <w:sz w:val="20"/>
          <w:szCs w:val="20"/>
          <w:lang w:eastAsia="fr-FR"/>
        </w:rPr>
        <w:t>[…]</w:t>
      </w:r>
      <w:r w:rsidRPr="004B585B">
        <w:rPr>
          <w:rFonts w:ascii="Calibri" w:eastAsia="Times New Roman" w:hAnsi="Calibri" w:cs="Calibri"/>
          <w:i/>
          <w:iCs/>
          <w:color w:val="000000"/>
          <w:sz w:val="20"/>
          <w:szCs w:val="20"/>
          <w:lang w:eastAsia="fr-FR"/>
        </w:rPr>
        <w:t> </w:t>
      </w:r>
      <w:r w:rsidRPr="004B585B">
        <w:rPr>
          <w:rFonts w:eastAsia="Times New Roman" w:cs="Times New Roman"/>
          <w:i/>
          <w:iCs/>
          <w:color w:val="000000"/>
          <w:sz w:val="20"/>
          <w:szCs w:val="20"/>
          <w:lang w:eastAsia="fr-FR"/>
        </w:rPr>
        <w:t>Mais il semble que, lorsqu’un handicap est diagnostiqué, la plupart des acteurs se retirent, laissant la personne handicapée seule entre les mains du spécialiste.</w:t>
      </w:r>
      <w:r w:rsidRPr="004B585B">
        <w:rPr>
          <w:rFonts w:ascii="Calibri" w:eastAsia="Times New Roman" w:hAnsi="Calibri" w:cs="Calibri"/>
          <w:i/>
          <w:iCs/>
          <w:color w:val="000000"/>
          <w:sz w:val="20"/>
          <w:szCs w:val="20"/>
          <w:lang w:eastAsia="fr-FR"/>
        </w:rPr>
        <w:t> </w:t>
      </w:r>
      <w:r w:rsidRPr="004B585B">
        <w:rPr>
          <w:rFonts w:eastAsia="Times New Roman" w:cs="Times New Roman"/>
          <w:color w:val="000000"/>
          <w:sz w:val="20"/>
          <w:szCs w:val="20"/>
          <w:lang w:eastAsia="fr-FR"/>
        </w:rPr>
        <w:t>» Ou encore lorsque la faculté d’autodétermination des personnes est réduite à une pure posture affective, dans une logique de psychologisation qui est aussi une manière de consolider l’asymétrie de la relation, à travers l’idée que les personnes ou les parents concernés ne sont que désir et que le rôle des professionnels est de leur faire désirer le produit de leurs savoirs réputés experts en matière de ce qui est bon pour eux ou pour leur enfant. C’est dans cette même perspective</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que les professionnels s’attachent souvent à amener les personnes considérées comme handicapées ou les parents à</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faire leur deuil</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de la vie rêvée, de l’enfant rêvé, enserrant ainsi leur droit à l’autodétermination dans le carcan de leur</w:t>
      </w:r>
      <w:r w:rsidR="00C8627D" w:rsidRPr="004B585B">
        <w:rPr>
          <w:rFonts w:eastAsia="Times New Roman" w:cs="Times New Roman"/>
          <w:color w:val="000000"/>
          <w:sz w:val="20"/>
          <w:szCs w:val="20"/>
          <w:lang w:eastAsia="fr-FR"/>
        </w:rPr>
        <w:t>s</w:t>
      </w:r>
      <w:r w:rsidRPr="004B585B">
        <w:rPr>
          <w:rFonts w:eastAsia="Times New Roman" w:cs="Times New Roman"/>
          <w:color w:val="000000"/>
          <w:sz w:val="20"/>
          <w:szCs w:val="20"/>
          <w:lang w:eastAsia="fr-FR"/>
        </w:rPr>
        <w:t xml:space="preserve"> propres stéréotypes de pensée (</w:t>
      </w:r>
      <w:proofErr w:type="spellStart"/>
      <w:r w:rsidRPr="004B585B">
        <w:rPr>
          <w:rFonts w:eastAsia="Times New Roman" w:cs="Times New Roman"/>
          <w:color w:val="000000"/>
          <w:sz w:val="20"/>
          <w:szCs w:val="20"/>
          <w:lang w:eastAsia="fr-FR"/>
        </w:rPr>
        <w:t>Pellissier-Fall</w:t>
      </w:r>
      <w:proofErr w:type="spellEnd"/>
      <w:r w:rsidRPr="004B585B">
        <w:rPr>
          <w:rFonts w:eastAsia="Times New Roman" w:cs="Times New Roman"/>
          <w:color w:val="000000"/>
          <w:sz w:val="20"/>
          <w:szCs w:val="20"/>
          <w:lang w:eastAsia="fr-FR"/>
        </w:rPr>
        <w:t>, à paraître).</w:t>
      </w:r>
    </w:p>
    <w:p w14:paraId="1382C971" w14:textId="77777777" w:rsidR="00D17E53" w:rsidRPr="00C676D2" w:rsidRDefault="00D17E53" w:rsidP="00E65E35">
      <w:pPr>
        <w:pStyle w:val="Titre2"/>
        <w:rPr>
          <w:rFonts w:eastAsia="Times New Roman"/>
          <w:lang w:val="en-US" w:eastAsia="fr-FR"/>
        </w:rPr>
      </w:pPr>
      <w:proofErr w:type="spellStart"/>
      <w:r w:rsidRPr="00C676D2">
        <w:rPr>
          <w:rFonts w:eastAsia="Times New Roman"/>
          <w:lang w:val="en-US" w:eastAsia="fr-FR"/>
        </w:rPr>
        <w:t>Références</w:t>
      </w:r>
      <w:proofErr w:type="spellEnd"/>
    </w:p>
    <w:p w14:paraId="1B76A6EE" w14:textId="77777777" w:rsidR="00D17E53" w:rsidRPr="004B585B" w:rsidRDefault="00D17E53" w:rsidP="00D17E53">
      <w:pPr>
        <w:ind w:left="255" w:hanging="255"/>
        <w:jc w:val="both"/>
        <w:rPr>
          <w:rFonts w:eastAsia="Times New Roman" w:cs="Times New Roman"/>
          <w:color w:val="000000"/>
          <w:sz w:val="20"/>
          <w:szCs w:val="20"/>
          <w:lang w:val="en-US" w:eastAsia="fr-FR"/>
        </w:rPr>
      </w:pPr>
      <w:r w:rsidRPr="004B585B">
        <w:rPr>
          <w:rFonts w:eastAsia="Times New Roman" w:cs="Times New Roman"/>
          <w:color w:val="000000"/>
          <w:sz w:val="20"/>
          <w:szCs w:val="20"/>
          <w:lang w:val="en-US" w:eastAsia="fr-FR"/>
        </w:rPr>
        <w:t xml:space="preserve">Benoit, H. (2018). Accessibility to higher education in the face to institutional barriers. In S. Pace, M. </w:t>
      </w:r>
      <w:proofErr w:type="spellStart"/>
      <w:r w:rsidRPr="004B585B">
        <w:rPr>
          <w:rFonts w:eastAsia="Times New Roman" w:cs="Times New Roman"/>
          <w:color w:val="000000"/>
          <w:sz w:val="20"/>
          <w:szCs w:val="20"/>
          <w:lang w:val="en-US" w:eastAsia="fr-FR"/>
        </w:rPr>
        <w:t>Pavone</w:t>
      </w:r>
      <w:proofErr w:type="spellEnd"/>
      <w:r w:rsidRPr="004B585B">
        <w:rPr>
          <w:rFonts w:eastAsia="Times New Roman" w:cs="Times New Roman"/>
          <w:color w:val="000000"/>
          <w:sz w:val="20"/>
          <w:szCs w:val="20"/>
          <w:lang w:val="en-US" w:eastAsia="fr-FR"/>
        </w:rPr>
        <w:t xml:space="preserve">, D. </w:t>
      </w:r>
      <w:proofErr w:type="spellStart"/>
      <w:r w:rsidRPr="004B585B">
        <w:rPr>
          <w:rFonts w:eastAsia="Times New Roman" w:cs="Times New Roman"/>
          <w:color w:val="000000"/>
          <w:sz w:val="20"/>
          <w:szCs w:val="20"/>
          <w:lang w:val="en-US" w:eastAsia="fr-FR"/>
        </w:rPr>
        <w:t>Petrini</w:t>
      </w:r>
      <w:proofErr w:type="spellEnd"/>
      <w:r w:rsidRPr="004B585B">
        <w:rPr>
          <w:rFonts w:eastAsia="Times New Roman" w:cs="Times New Roman"/>
          <w:color w:val="000000"/>
          <w:sz w:val="20"/>
          <w:szCs w:val="20"/>
          <w:lang w:val="en-US" w:eastAsia="fr-FR"/>
        </w:rPr>
        <w:t xml:space="preserve"> (Eds),</w:t>
      </w:r>
      <w:r w:rsidRPr="004B585B">
        <w:rPr>
          <w:rFonts w:ascii="Calibri" w:eastAsia="Times New Roman" w:hAnsi="Calibri" w:cs="Calibri"/>
          <w:color w:val="000000"/>
          <w:sz w:val="20"/>
          <w:szCs w:val="20"/>
          <w:lang w:val="en-US" w:eastAsia="fr-FR"/>
        </w:rPr>
        <w:t> </w:t>
      </w:r>
      <w:proofErr w:type="spellStart"/>
      <w:r w:rsidRPr="004B585B">
        <w:rPr>
          <w:rFonts w:eastAsia="Times New Roman" w:cs="Times New Roman"/>
          <w:i/>
          <w:iCs/>
          <w:color w:val="000000"/>
          <w:sz w:val="20"/>
          <w:szCs w:val="20"/>
          <w:lang w:val="en-US" w:eastAsia="fr-FR"/>
        </w:rPr>
        <w:t>UNIversal</w:t>
      </w:r>
      <w:proofErr w:type="spellEnd"/>
      <w:r w:rsidRPr="004B585B">
        <w:rPr>
          <w:rFonts w:eastAsia="Times New Roman" w:cs="Times New Roman"/>
          <w:i/>
          <w:iCs/>
          <w:color w:val="000000"/>
          <w:sz w:val="20"/>
          <w:szCs w:val="20"/>
          <w:lang w:val="en-US" w:eastAsia="fr-FR"/>
        </w:rPr>
        <w:t xml:space="preserve"> Inclusion Rights and Opportunities for Students with Disabilities in the Academic Context</w:t>
      </w:r>
      <w:r w:rsidRPr="004B585B">
        <w:rPr>
          <w:rFonts w:ascii="Calibri" w:eastAsia="Times New Roman" w:hAnsi="Calibri" w:cs="Calibri"/>
          <w:i/>
          <w:iCs/>
          <w:color w:val="000000"/>
          <w:sz w:val="20"/>
          <w:szCs w:val="20"/>
          <w:lang w:val="en-US" w:eastAsia="fr-FR"/>
        </w:rPr>
        <w:t> </w:t>
      </w:r>
      <w:r w:rsidRPr="004B585B">
        <w:rPr>
          <w:rFonts w:eastAsia="Times New Roman" w:cs="Times New Roman"/>
          <w:color w:val="000000"/>
          <w:sz w:val="20"/>
          <w:szCs w:val="20"/>
          <w:lang w:val="en-US" w:eastAsia="fr-FR"/>
        </w:rPr>
        <w:t>(pp.</w:t>
      </w:r>
      <w:r w:rsidRPr="004B585B">
        <w:rPr>
          <w:rFonts w:ascii="Calibri" w:eastAsia="Times New Roman" w:hAnsi="Calibri" w:cs="Calibri"/>
          <w:color w:val="000000"/>
          <w:sz w:val="20"/>
          <w:szCs w:val="20"/>
          <w:lang w:val="en-US" w:eastAsia="fr-FR"/>
        </w:rPr>
        <w:t> </w:t>
      </w:r>
      <w:r w:rsidRPr="004B585B">
        <w:rPr>
          <w:rFonts w:eastAsia="Times New Roman" w:cs="Times New Roman"/>
          <w:color w:val="000000"/>
          <w:sz w:val="20"/>
          <w:szCs w:val="20"/>
          <w:lang w:val="en-US" w:eastAsia="fr-FR"/>
        </w:rPr>
        <w:t xml:space="preserve">83-93). Milano: Franco </w:t>
      </w:r>
      <w:proofErr w:type="spellStart"/>
      <w:r w:rsidRPr="004B585B">
        <w:rPr>
          <w:rFonts w:eastAsia="Times New Roman" w:cs="Times New Roman"/>
          <w:color w:val="000000"/>
          <w:sz w:val="20"/>
          <w:szCs w:val="20"/>
          <w:lang w:val="en-US" w:eastAsia="fr-FR"/>
        </w:rPr>
        <w:t>Angeli</w:t>
      </w:r>
      <w:proofErr w:type="spellEnd"/>
      <w:r w:rsidRPr="004B585B">
        <w:rPr>
          <w:rFonts w:eastAsia="Times New Roman" w:cs="Times New Roman"/>
          <w:color w:val="000000"/>
          <w:sz w:val="20"/>
          <w:szCs w:val="20"/>
          <w:lang w:val="en-US" w:eastAsia="fr-FR"/>
        </w:rPr>
        <w:t xml:space="preserve"> </w:t>
      </w:r>
      <w:proofErr w:type="spellStart"/>
      <w:r w:rsidRPr="004B585B">
        <w:rPr>
          <w:rFonts w:eastAsia="Times New Roman" w:cs="Times New Roman"/>
          <w:color w:val="000000"/>
          <w:sz w:val="20"/>
          <w:szCs w:val="20"/>
          <w:lang w:val="en-US" w:eastAsia="fr-FR"/>
        </w:rPr>
        <w:t>Edizioni</w:t>
      </w:r>
      <w:proofErr w:type="spellEnd"/>
      <w:r w:rsidRPr="004B585B">
        <w:rPr>
          <w:rFonts w:eastAsia="Times New Roman" w:cs="Times New Roman"/>
          <w:color w:val="000000"/>
          <w:sz w:val="20"/>
          <w:szCs w:val="20"/>
          <w:lang w:val="en-US" w:eastAsia="fr-FR"/>
        </w:rPr>
        <w:t>.</w:t>
      </w:r>
    </w:p>
    <w:p w14:paraId="31EEB8C0" w14:textId="77777777" w:rsidR="00D17E53" w:rsidRPr="004B585B" w:rsidRDefault="00D17E53" w:rsidP="00D17E53">
      <w:pPr>
        <w:ind w:left="255" w:hanging="255"/>
        <w:jc w:val="both"/>
        <w:rPr>
          <w:rFonts w:eastAsia="Times New Roman" w:cs="Times New Roman"/>
          <w:color w:val="000000"/>
          <w:sz w:val="20"/>
          <w:szCs w:val="20"/>
          <w:lang w:eastAsia="fr-FR"/>
        </w:rPr>
      </w:pPr>
      <w:proofErr w:type="spellStart"/>
      <w:r w:rsidRPr="004B585B">
        <w:rPr>
          <w:rFonts w:eastAsia="Times New Roman" w:cs="Times New Roman"/>
          <w:color w:val="000000"/>
          <w:sz w:val="20"/>
          <w:szCs w:val="20"/>
          <w:lang w:val="en-US" w:eastAsia="fr-FR"/>
        </w:rPr>
        <w:t>Canevaro</w:t>
      </w:r>
      <w:proofErr w:type="spellEnd"/>
      <w:r w:rsidRPr="004B585B">
        <w:rPr>
          <w:rFonts w:eastAsia="Times New Roman" w:cs="Times New Roman"/>
          <w:color w:val="000000"/>
          <w:sz w:val="20"/>
          <w:szCs w:val="20"/>
          <w:lang w:val="en-US" w:eastAsia="fr-FR"/>
        </w:rPr>
        <w:t>, A. (2016).</w:t>
      </w:r>
      <w:r w:rsidRPr="004B585B">
        <w:rPr>
          <w:rFonts w:ascii="Calibri" w:eastAsia="Times New Roman" w:hAnsi="Calibri" w:cs="Calibri"/>
          <w:color w:val="000000"/>
          <w:sz w:val="20"/>
          <w:szCs w:val="20"/>
          <w:lang w:val="en-US" w:eastAsia="fr-FR"/>
        </w:rPr>
        <w:t> </w:t>
      </w:r>
      <w:r w:rsidRPr="004B585B">
        <w:rPr>
          <w:rFonts w:eastAsia="Times New Roman" w:cs="Times New Roman"/>
          <w:i/>
          <w:iCs/>
          <w:color w:val="000000"/>
          <w:sz w:val="20"/>
          <w:szCs w:val="20"/>
          <w:lang w:val="en-US" w:eastAsia="fr-FR"/>
        </w:rPr>
        <w:t>The unexpected visitor will inhabit a project? Entering a story...</w:t>
      </w:r>
      <w:r w:rsidRPr="004B585B">
        <w:rPr>
          <w:rFonts w:ascii="Calibri" w:eastAsia="Times New Roman" w:hAnsi="Calibri" w:cs="Calibri"/>
          <w:color w:val="000000"/>
          <w:sz w:val="20"/>
          <w:szCs w:val="20"/>
          <w:lang w:val="en-US" w:eastAsia="fr-FR"/>
        </w:rPr>
        <w:t> </w:t>
      </w:r>
      <w:proofErr w:type="spellStart"/>
      <w:r w:rsidRPr="004B585B">
        <w:rPr>
          <w:rFonts w:eastAsia="Times New Roman" w:cs="Times New Roman"/>
          <w:color w:val="000000"/>
          <w:sz w:val="20"/>
          <w:szCs w:val="20"/>
          <w:lang w:val="en-US" w:eastAsia="fr-FR"/>
        </w:rPr>
        <w:t>Conferenza</w:t>
      </w:r>
      <w:proofErr w:type="spellEnd"/>
      <w:r w:rsidRPr="004B585B">
        <w:rPr>
          <w:rFonts w:eastAsia="Times New Roman" w:cs="Times New Roman"/>
          <w:color w:val="000000"/>
          <w:sz w:val="20"/>
          <w:szCs w:val="20"/>
          <w:lang w:val="en-US" w:eastAsia="fr-FR"/>
        </w:rPr>
        <w:t xml:space="preserve"> Nazionale </w:t>
      </w:r>
      <w:proofErr w:type="spellStart"/>
      <w:r w:rsidRPr="004B585B">
        <w:rPr>
          <w:rFonts w:eastAsia="Times New Roman" w:cs="Times New Roman"/>
          <w:color w:val="000000"/>
          <w:sz w:val="20"/>
          <w:szCs w:val="20"/>
          <w:lang w:val="en-US" w:eastAsia="fr-FR"/>
        </w:rPr>
        <w:t>Universitaria</w:t>
      </w:r>
      <w:proofErr w:type="spellEnd"/>
      <w:r w:rsidRPr="004B585B">
        <w:rPr>
          <w:rFonts w:eastAsia="Times New Roman" w:cs="Times New Roman"/>
          <w:color w:val="000000"/>
          <w:sz w:val="20"/>
          <w:szCs w:val="20"/>
          <w:lang w:val="en-US" w:eastAsia="fr-FR"/>
        </w:rPr>
        <w:t xml:space="preserve"> </w:t>
      </w:r>
      <w:proofErr w:type="spellStart"/>
      <w:r w:rsidRPr="004B585B">
        <w:rPr>
          <w:rFonts w:eastAsia="Times New Roman" w:cs="Times New Roman"/>
          <w:color w:val="000000"/>
          <w:sz w:val="20"/>
          <w:szCs w:val="20"/>
          <w:lang w:val="en-US" w:eastAsia="fr-FR"/>
        </w:rPr>
        <w:t>dei</w:t>
      </w:r>
      <w:proofErr w:type="spellEnd"/>
      <w:r w:rsidRPr="004B585B">
        <w:rPr>
          <w:rFonts w:eastAsia="Times New Roman" w:cs="Times New Roman"/>
          <w:color w:val="000000"/>
          <w:sz w:val="20"/>
          <w:szCs w:val="20"/>
          <w:lang w:val="en-US" w:eastAsia="fr-FR"/>
        </w:rPr>
        <w:t xml:space="preserve"> </w:t>
      </w:r>
      <w:proofErr w:type="spellStart"/>
      <w:r w:rsidRPr="004B585B">
        <w:rPr>
          <w:rFonts w:eastAsia="Times New Roman" w:cs="Times New Roman"/>
          <w:color w:val="000000"/>
          <w:sz w:val="20"/>
          <w:szCs w:val="20"/>
          <w:lang w:val="en-US" w:eastAsia="fr-FR"/>
        </w:rPr>
        <w:t>Delegati</w:t>
      </w:r>
      <w:proofErr w:type="spellEnd"/>
      <w:r w:rsidRPr="004B585B">
        <w:rPr>
          <w:rFonts w:eastAsia="Times New Roman" w:cs="Times New Roman"/>
          <w:color w:val="000000"/>
          <w:sz w:val="20"/>
          <w:szCs w:val="20"/>
          <w:lang w:val="en-US" w:eastAsia="fr-FR"/>
        </w:rPr>
        <w:t xml:space="preserve"> per le </w:t>
      </w:r>
      <w:proofErr w:type="spellStart"/>
      <w:r w:rsidRPr="004B585B">
        <w:rPr>
          <w:rFonts w:eastAsia="Times New Roman" w:cs="Times New Roman"/>
          <w:color w:val="000000"/>
          <w:sz w:val="20"/>
          <w:szCs w:val="20"/>
          <w:lang w:val="en-US" w:eastAsia="fr-FR"/>
        </w:rPr>
        <w:t>Disabilità</w:t>
      </w:r>
      <w:proofErr w:type="spellEnd"/>
      <w:r w:rsidRPr="004B585B">
        <w:rPr>
          <w:rFonts w:eastAsia="Times New Roman" w:cs="Times New Roman"/>
          <w:color w:val="000000"/>
          <w:sz w:val="20"/>
          <w:szCs w:val="20"/>
          <w:lang w:val="en-US" w:eastAsia="fr-FR"/>
        </w:rPr>
        <w:t xml:space="preserve"> (CNUDD). </w:t>
      </w:r>
      <w:r w:rsidRPr="004B585B">
        <w:rPr>
          <w:rFonts w:eastAsia="Times New Roman" w:cs="Times New Roman"/>
          <w:color w:val="000000"/>
          <w:sz w:val="20"/>
          <w:szCs w:val="20"/>
          <w:lang w:eastAsia="fr-FR"/>
        </w:rPr>
        <w:t>Talks abstracts.</w:t>
      </w:r>
    </w:p>
    <w:p w14:paraId="2E3271BF" w14:textId="77777777" w:rsidR="00D17E53" w:rsidRPr="004B585B" w:rsidRDefault="00D17E53" w:rsidP="00D17E53">
      <w:pPr>
        <w:ind w:left="255" w:hanging="255"/>
        <w:jc w:val="both"/>
        <w:rPr>
          <w:rFonts w:eastAsia="Times New Roman" w:cs="Times New Roman"/>
          <w:color w:val="000000"/>
          <w:sz w:val="20"/>
          <w:szCs w:val="20"/>
          <w:lang w:eastAsia="fr-FR"/>
        </w:rPr>
      </w:pPr>
      <w:proofErr w:type="spellStart"/>
      <w:r w:rsidRPr="004B585B">
        <w:rPr>
          <w:rFonts w:eastAsia="Times New Roman" w:cs="Times New Roman"/>
          <w:color w:val="000000"/>
          <w:sz w:val="20"/>
          <w:szCs w:val="20"/>
          <w:lang w:eastAsia="fr-FR"/>
        </w:rPr>
        <w:t>Ebersold</w:t>
      </w:r>
      <w:proofErr w:type="spellEnd"/>
      <w:r w:rsidRPr="004B585B">
        <w:rPr>
          <w:rFonts w:eastAsia="Times New Roman" w:cs="Times New Roman"/>
          <w:color w:val="000000"/>
          <w:sz w:val="20"/>
          <w:szCs w:val="20"/>
          <w:lang w:eastAsia="fr-FR"/>
        </w:rPr>
        <w:t>, S. (2013). Famille, handicap et citoyenneté : de l’injonction à la parité de participation.</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Contraste, 1</w:t>
      </w:r>
      <w:r w:rsidRPr="004B585B">
        <w:rPr>
          <w:rFonts w:eastAsia="Times New Roman" w:cs="Times New Roman"/>
          <w:color w:val="000000"/>
          <w:sz w:val="20"/>
          <w:szCs w:val="20"/>
          <w:lang w:eastAsia="fr-FR"/>
        </w:rPr>
        <w:t>, 93-108.</w:t>
      </w:r>
    </w:p>
    <w:p w14:paraId="6042779D" w14:textId="77777777" w:rsidR="00D17E53" w:rsidRPr="004B585B" w:rsidRDefault="00D17E53" w:rsidP="00D17E53">
      <w:pPr>
        <w:ind w:left="255" w:hanging="255"/>
        <w:jc w:val="both"/>
        <w:rPr>
          <w:rFonts w:eastAsia="Times New Roman" w:cs="Times New Roman"/>
          <w:color w:val="000000"/>
          <w:sz w:val="20"/>
          <w:szCs w:val="20"/>
          <w:lang w:eastAsia="fr-FR"/>
        </w:rPr>
      </w:pPr>
      <w:r w:rsidRPr="004B585B">
        <w:rPr>
          <w:rFonts w:eastAsia="Times New Roman" w:cs="Times New Roman"/>
          <w:color w:val="000000"/>
          <w:sz w:val="20"/>
          <w:szCs w:val="20"/>
          <w:lang w:eastAsia="fr-FR"/>
        </w:rPr>
        <w:t>Fontana Lana, B. (2020). La communication au service de l’autodétermination et de la participation citoyenne.</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Travaux neuchâtelois de linguistique, 73</w:t>
      </w:r>
      <w:r w:rsidRPr="004B585B">
        <w:rPr>
          <w:rFonts w:eastAsia="Times New Roman" w:cs="Times New Roman"/>
          <w:color w:val="000000"/>
          <w:sz w:val="20"/>
          <w:szCs w:val="20"/>
          <w:lang w:eastAsia="fr-FR"/>
        </w:rPr>
        <w:t>, 9-26.</w:t>
      </w:r>
    </w:p>
    <w:p w14:paraId="70F3A9F5" w14:textId="77777777" w:rsidR="00D17E53" w:rsidRPr="004B585B" w:rsidRDefault="00D17E53" w:rsidP="00D17E53">
      <w:pPr>
        <w:ind w:left="255" w:hanging="255"/>
        <w:jc w:val="both"/>
        <w:rPr>
          <w:rFonts w:eastAsia="Times New Roman" w:cs="Times New Roman"/>
          <w:color w:val="000000"/>
          <w:sz w:val="20"/>
          <w:szCs w:val="20"/>
          <w:lang w:eastAsia="fr-FR"/>
        </w:rPr>
      </w:pPr>
      <w:proofErr w:type="spellStart"/>
      <w:r w:rsidRPr="004B585B">
        <w:rPr>
          <w:rFonts w:eastAsia="Times New Roman" w:cs="Times New Roman"/>
          <w:color w:val="000000"/>
          <w:sz w:val="20"/>
          <w:szCs w:val="20"/>
          <w:lang w:eastAsia="fr-FR"/>
        </w:rPr>
        <w:lastRenderedPageBreak/>
        <w:t>Geurts</w:t>
      </w:r>
      <w:proofErr w:type="spellEnd"/>
      <w:r w:rsidRPr="004B585B">
        <w:rPr>
          <w:rFonts w:eastAsia="Times New Roman" w:cs="Times New Roman"/>
          <w:color w:val="000000"/>
          <w:sz w:val="20"/>
          <w:szCs w:val="20"/>
          <w:lang w:eastAsia="fr-FR"/>
        </w:rPr>
        <w:t xml:space="preserve">, H., et </w:t>
      </w:r>
      <w:proofErr w:type="spellStart"/>
      <w:r w:rsidRPr="004B585B">
        <w:rPr>
          <w:rFonts w:eastAsia="Times New Roman" w:cs="Times New Roman"/>
          <w:color w:val="000000"/>
          <w:sz w:val="20"/>
          <w:szCs w:val="20"/>
          <w:lang w:eastAsia="fr-FR"/>
        </w:rPr>
        <w:t>Haelewick</w:t>
      </w:r>
      <w:proofErr w:type="spellEnd"/>
      <w:r w:rsidRPr="004B585B">
        <w:rPr>
          <w:rFonts w:eastAsia="Times New Roman" w:cs="Times New Roman"/>
          <w:color w:val="000000"/>
          <w:sz w:val="20"/>
          <w:szCs w:val="20"/>
          <w:lang w:eastAsia="fr-FR"/>
        </w:rPr>
        <w:t>, M.-C. (2022). «</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Est-ce que je peux encore dire quelque chose ?</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 Regards croisés sur l’autodétermination de personnes âgées avec ou sans déficience intellectuelle.</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La nouvelle revue - Éducation et société inclusives, 94</w:t>
      </w:r>
      <w:r w:rsidRPr="004B585B">
        <w:rPr>
          <w:rFonts w:eastAsia="Times New Roman" w:cs="Times New Roman"/>
          <w:color w:val="000000"/>
          <w:sz w:val="20"/>
          <w:szCs w:val="20"/>
          <w:lang w:eastAsia="fr-FR"/>
        </w:rPr>
        <w:t>.</w:t>
      </w:r>
    </w:p>
    <w:p w14:paraId="4ECC19BC" w14:textId="77777777" w:rsidR="00D17E53" w:rsidRPr="004B585B" w:rsidRDefault="00D17E53" w:rsidP="00D17E53">
      <w:pPr>
        <w:ind w:left="255" w:hanging="255"/>
        <w:jc w:val="both"/>
        <w:rPr>
          <w:rFonts w:eastAsia="Times New Roman" w:cs="Times New Roman"/>
          <w:color w:val="000000"/>
          <w:sz w:val="20"/>
          <w:szCs w:val="20"/>
          <w:lang w:eastAsia="fr-FR"/>
        </w:rPr>
      </w:pPr>
      <w:proofErr w:type="spellStart"/>
      <w:r w:rsidRPr="004B585B">
        <w:rPr>
          <w:rFonts w:eastAsia="Times New Roman" w:cs="Times New Roman"/>
          <w:color w:val="000000"/>
          <w:sz w:val="20"/>
          <w:szCs w:val="20"/>
          <w:lang w:eastAsia="fr-FR"/>
        </w:rPr>
        <w:t>Mazereau</w:t>
      </w:r>
      <w:proofErr w:type="spellEnd"/>
      <w:r w:rsidRPr="004B585B">
        <w:rPr>
          <w:rFonts w:eastAsia="Times New Roman" w:cs="Times New Roman"/>
          <w:color w:val="000000"/>
          <w:sz w:val="20"/>
          <w:szCs w:val="20"/>
          <w:lang w:eastAsia="fr-FR"/>
        </w:rPr>
        <w:t xml:space="preserve">, P., et </w:t>
      </w:r>
      <w:proofErr w:type="spellStart"/>
      <w:r w:rsidRPr="004B585B">
        <w:rPr>
          <w:rFonts w:eastAsia="Times New Roman" w:cs="Times New Roman"/>
          <w:color w:val="000000"/>
          <w:sz w:val="20"/>
          <w:szCs w:val="20"/>
          <w:lang w:eastAsia="fr-FR"/>
        </w:rPr>
        <w:t>Pellissier</w:t>
      </w:r>
      <w:proofErr w:type="spellEnd"/>
      <w:r w:rsidRPr="004B585B">
        <w:rPr>
          <w:rFonts w:eastAsia="Times New Roman" w:cs="Times New Roman"/>
          <w:color w:val="000000"/>
          <w:sz w:val="20"/>
          <w:szCs w:val="20"/>
          <w:lang w:eastAsia="fr-FR"/>
        </w:rPr>
        <w:t>, A. (2018). La place des parents et leur travail dans le parcours éducatif et thérapeutique de leur enfant en situation de handicap.</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Anthropologie &amp; Santé</w:t>
      </w:r>
      <w:r w:rsidRPr="004B585B">
        <w:rPr>
          <w:rFonts w:ascii="Calibri" w:eastAsia="Times New Roman" w:hAnsi="Calibri" w:cs="Calibri"/>
          <w:color w:val="000000"/>
          <w:sz w:val="20"/>
          <w:szCs w:val="20"/>
          <w:lang w:eastAsia="fr-FR"/>
        </w:rPr>
        <w:t> </w:t>
      </w:r>
      <w:r w:rsidRPr="004B585B">
        <w:rPr>
          <w:rFonts w:eastAsia="Times New Roman" w:cs="Times New Roman"/>
          <w:color w:val="000000"/>
          <w:sz w:val="20"/>
          <w:szCs w:val="20"/>
          <w:lang w:eastAsia="fr-FR"/>
        </w:rPr>
        <w:t>[En ligne],</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17</w:t>
      </w:r>
      <w:r w:rsidRPr="004B585B">
        <w:rPr>
          <w:rFonts w:eastAsia="Times New Roman" w:cs="Times New Roman"/>
          <w:color w:val="000000"/>
          <w:sz w:val="20"/>
          <w:szCs w:val="20"/>
          <w:lang w:eastAsia="fr-FR"/>
        </w:rPr>
        <w:t>. Consulté le 12 juillet 2022. &lt;</w:t>
      </w:r>
      <w:hyperlink r:id="rId6" w:history="1">
        <w:r w:rsidRPr="004B585B">
          <w:rPr>
            <w:rFonts w:eastAsia="Times New Roman" w:cs="Times New Roman"/>
            <w:color w:val="000000"/>
            <w:sz w:val="20"/>
            <w:szCs w:val="20"/>
            <w:u w:val="single"/>
            <w:lang w:eastAsia="fr-FR"/>
          </w:rPr>
          <w:t>http://journals.openedition.org/anthropologiesante/3977</w:t>
        </w:r>
      </w:hyperlink>
      <w:r w:rsidRPr="004B585B">
        <w:rPr>
          <w:rFonts w:eastAsia="Times New Roman" w:cs="Times New Roman"/>
          <w:color w:val="000000"/>
          <w:sz w:val="20"/>
          <w:szCs w:val="20"/>
          <w:lang w:eastAsia="fr-FR"/>
        </w:rPr>
        <w:t>&gt;</w:t>
      </w:r>
    </w:p>
    <w:p w14:paraId="07041359" w14:textId="77777777" w:rsidR="00D17E53" w:rsidRPr="004B585B" w:rsidRDefault="00D17E53" w:rsidP="00D17E53">
      <w:pPr>
        <w:ind w:left="255" w:hanging="255"/>
        <w:jc w:val="both"/>
        <w:rPr>
          <w:rFonts w:eastAsia="Times New Roman" w:cs="Times New Roman"/>
          <w:color w:val="000000"/>
          <w:sz w:val="20"/>
          <w:szCs w:val="20"/>
          <w:lang w:eastAsia="fr-FR"/>
        </w:rPr>
      </w:pPr>
      <w:proofErr w:type="spellStart"/>
      <w:r w:rsidRPr="004B585B">
        <w:rPr>
          <w:rFonts w:eastAsia="Times New Roman" w:cs="Times New Roman"/>
          <w:color w:val="000000"/>
          <w:sz w:val="20"/>
          <w:szCs w:val="20"/>
          <w:lang w:eastAsia="fr-FR"/>
        </w:rPr>
        <w:t>Pellissier-Fall</w:t>
      </w:r>
      <w:proofErr w:type="spellEnd"/>
      <w:r w:rsidRPr="004B585B">
        <w:rPr>
          <w:rFonts w:eastAsia="Times New Roman" w:cs="Times New Roman"/>
          <w:color w:val="000000"/>
          <w:sz w:val="20"/>
          <w:szCs w:val="20"/>
          <w:lang w:eastAsia="fr-FR"/>
        </w:rPr>
        <w:t xml:space="preserve">, A. (à paraître). Quelle </w:t>
      </w:r>
      <w:proofErr w:type="spellStart"/>
      <w:r w:rsidRPr="004B585B">
        <w:rPr>
          <w:rFonts w:eastAsia="Times New Roman" w:cs="Times New Roman"/>
          <w:color w:val="000000"/>
          <w:sz w:val="20"/>
          <w:szCs w:val="20"/>
          <w:lang w:eastAsia="fr-FR"/>
        </w:rPr>
        <w:t>co</w:t>
      </w:r>
      <w:proofErr w:type="spellEnd"/>
      <w:r w:rsidRPr="004B585B">
        <w:rPr>
          <w:rFonts w:eastAsia="Times New Roman" w:cs="Times New Roman"/>
          <w:color w:val="000000"/>
          <w:sz w:val="20"/>
          <w:szCs w:val="20"/>
          <w:lang w:eastAsia="fr-FR"/>
        </w:rPr>
        <w:t>-construction du projet de vie des enfants en situation de handicap ? Réceptions croisées par les professionnels et les parents.</w:t>
      </w:r>
      <w:r w:rsidRPr="004B585B">
        <w:rPr>
          <w:rFonts w:ascii="Calibri" w:eastAsia="Times New Roman" w:hAnsi="Calibri" w:cs="Calibri"/>
          <w:color w:val="000000"/>
          <w:sz w:val="20"/>
          <w:szCs w:val="20"/>
          <w:lang w:eastAsia="fr-FR"/>
        </w:rPr>
        <w:t> </w:t>
      </w:r>
      <w:r w:rsidRPr="004B585B">
        <w:rPr>
          <w:rFonts w:eastAsia="Times New Roman" w:cs="Times New Roman"/>
          <w:i/>
          <w:iCs/>
          <w:color w:val="000000"/>
          <w:sz w:val="20"/>
          <w:szCs w:val="20"/>
          <w:lang w:eastAsia="fr-FR"/>
        </w:rPr>
        <w:t>Questions vives.</w:t>
      </w:r>
    </w:p>
    <w:p w14:paraId="7BBC28FE" w14:textId="7154E634" w:rsidR="00B51FFA" w:rsidRPr="004B585B" w:rsidRDefault="00D17E53" w:rsidP="00625791">
      <w:pPr>
        <w:ind w:left="255" w:hanging="255"/>
        <w:jc w:val="both"/>
        <w:rPr>
          <w:rFonts w:eastAsia="Times New Roman" w:cs="Times New Roman"/>
          <w:color w:val="000000"/>
          <w:sz w:val="20"/>
          <w:szCs w:val="20"/>
          <w:lang w:val="en-US" w:eastAsia="fr-FR"/>
        </w:rPr>
      </w:pPr>
      <w:proofErr w:type="spellStart"/>
      <w:r w:rsidRPr="004B585B">
        <w:rPr>
          <w:rFonts w:eastAsia="Times New Roman" w:cs="Times New Roman"/>
          <w:color w:val="000000"/>
          <w:sz w:val="20"/>
          <w:szCs w:val="20"/>
          <w:lang w:val="en-US" w:eastAsia="fr-FR"/>
        </w:rPr>
        <w:t>Wehmeyer</w:t>
      </w:r>
      <w:proofErr w:type="spellEnd"/>
      <w:r w:rsidRPr="004B585B">
        <w:rPr>
          <w:rFonts w:eastAsia="Times New Roman" w:cs="Times New Roman"/>
          <w:color w:val="000000"/>
          <w:sz w:val="20"/>
          <w:szCs w:val="20"/>
          <w:lang w:val="en-US" w:eastAsia="fr-FR"/>
        </w:rPr>
        <w:t>, M.L. (1999). A functional model of self-determination: describing development and implementing instruction.</w:t>
      </w:r>
      <w:r w:rsidRPr="004B585B">
        <w:rPr>
          <w:rFonts w:ascii="Calibri" w:eastAsia="Times New Roman" w:hAnsi="Calibri" w:cs="Calibri"/>
          <w:color w:val="000000"/>
          <w:sz w:val="20"/>
          <w:szCs w:val="20"/>
          <w:lang w:val="en-US" w:eastAsia="fr-FR"/>
        </w:rPr>
        <w:t> </w:t>
      </w:r>
      <w:r w:rsidRPr="004B585B">
        <w:rPr>
          <w:rFonts w:eastAsia="Times New Roman" w:cs="Times New Roman"/>
          <w:i/>
          <w:iCs/>
          <w:color w:val="000000"/>
          <w:sz w:val="20"/>
          <w:szCs w:val="20"/>
          <w:lang w:val="en-US" w:eastAsia="fr-FR"/>
        </w:rPr>
        <w:t>Focus on Autism and Other Developmental Disabilities, 14</w:t>
      </w:r>
      <w:r w:rsidRPr="004B585B">
        <w:rPr>
          <w:rFonts w:eastAsia="Times New Roman" w:cs="Times New Roman"/>
          <w:color w:val="000000"/>
          <w:sz w:val="20"/>
          <w:szCs w:val="20"/>
          <w:lang w:val="en-US" w:eastAsia="fr-FR"/>
        </w:rPr>
        <w:t>(1), 53-61.</w:t>
      </w:r>
    </w:p>
    <w:sectPr w:rsidR="00B51FFA" w:rsidRPr="004B58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8667" w14:textId="77777777" w:rsidR="00621A10" w:rsidRDefault="00621A10" w:rsidP="00D17E53">
      <w:r>
        <w:separator/>
      </w:r>
    </w:p>
  </w:endnote>
  <w:endnote w:type="continuationSeparator" w:id="0">
    <w:p w14:paraId="3D4C9E49" w14:textId="77777777" w:rsidR="00621A10" w:rsidRDefault="00621A10" w:rsidP="00D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936" w14:textId="77777777" w:rsidR="00621A10" w:rsidRDefault="00621A10" w:rsidP="00D17E53">
      <w:r>
        <w:separator/>
      </w:r>
    </w:p>
  </w:footnote>
  <w:footnote w:type="continuationSeparator" w:id="0">
    <w:p w14:paraId="4DACF585" w14:textId="77777777" w:rsidR="00621A10" w:rsidRDefault="00621A10" w:rsidP="00D17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53"/>
    <w:rsid w:val="00115170"/>
    <w:rsid w:val="002854B8"/>
    <w:rsid w:val="004B585B"/>
    <w:rsid w:val="005B7EEA"/>
    <w:rsid w:val="00621A10"/>
    <w:rsid w:val="00625791"/>
    <w:rsid w:val="006765FD"/>
    <w:rsid w:val="00740478"/>
    <w:rsid w:val="008220F7"/>
    <w:rsid w:val="008B28D5"/>
    <w:rsid w:val="00932D67"/>
    <w:rsid w:val="00962045"/>
    <w:rsid w:val="00975115"/>
    <w:rsid w:val="00B03B65"/>
    <w:rsid w:val="00B51FFA"/>
    <w:rsid w:val="00B63C9F"/>
    <w:rsid w:val="00C01C9E"/>
    <w:rsid w:val="00C21A65"/>
    <w:rsid w:val="00C676D2"/>
    <w:rsid w:val="00C8627D"/>
    <w:rsid w:val="00D17E53"/>
    <w:rsid w:val="00DC68AD"/>
    <w:rsid w:val="00E65E35"/>
    <w:rsid w:val="00EA73EC"/>
    <w:rsid w:val="00F33271"/>
    <w:rsid w:val="00FE4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B60"/>
  <w15:chartTrackingRefBased/>
  <w15:docId w15:val="{554D23B9-F0EC-564C-BCB7-3055FA4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35"/>
    <w:pPr>
      <w:spacing w:line="360" w:lineRule="auto"/>
    </w:pPr>
    <w:rPr>
      <w:rFonts w:ascii="Luciole" w:hAnsi="Luciole"/>
    </w:rPr>
  </w:style>
  <w:style w:type="paragraph" w:styleId="Titre1">
    <w:name w:val="heading 1"/>
    <w:basedOn w:val="Normal"/>
    <w:next w:val="Normal"/>
    <w:link w:val="Titre1Car"/>
    <w:uiPriority w:val="9"/>
    <w:qFormat/>
    <w:rsid w:val="00E65E35"/>
    <w:pPr>
      <w:keepNext/>
      <w:keepLines/>
      <w:spacing w:before="240"/>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E65E35"/>
    <w:pPr>
      <w:keepNext/>
      <w:keepLines/>
      <w:spacing w:before="240" w:after="120" w:line="240" w:lineRule="auto"/>
      <w:outlineLvl w:val="1"/>
    </w:pPr>
    <w:rPr>
      <w:rFonts w:eastAsiaTheme="majorEastAsia"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chapitre">
    <w:name w:val="Titre de chapitre"/>
    <w:basedOn w:val="Normal"/>
    <w:qFormat/>
    <w:rsid w:val="00DC68AD"/>
    <w:pPr>
      <w:spacing w:after="480"/>
      <w:outlineLvl w:val="0"/>
    </w:pPr>
    <w:rPr>
      <w:rFonts w:ascii="Calibri" w:hAnsi="Calibri" w:cs="Calibri"/>
      <w:b/>
      <w:bCs/>
      <w:sz w:val="40"/>
      <w:szCs w:val="40"/>
    </w:rPr>
  </w:style>
  <w:style w:type="paragraph" w:customStyle="1" w:styleId="Titre1ouvrage">
    <w:name w:val="Titre 1 ouvrage"/>
    <w:basedOn w:val="Titre1"/>
    <w:qFormat/>
    <w:rsid w:val="00DC68AD"/>
    <w:pPr>
      <w:outlineLvl w:val="1"/>
    </w:pPr>
    <w:rPr>
      <w:rFonts w:ascii="Calibri" w:hAnsi="Calibri" w:cs="Calibri"/>
      <w:b w:val="0"/>
      <w:bCs/>
      <w:sz w:val="28"/>
      <w:szCs w:val="28"/>
    </w:rPr>
  </w:style>
  <w:style w:type="character" w:customStyle="1" w:styleId="Titre1Car">
    <w:name w:val="Titre 1 Car"/>
    <w:basedOn w:val="Policepardfaut"/>
    <w:link w:val="Titre1"/>
    <w:uiPriority w:val="9"/>
    <w:rsid w:val="00E65E35"/>
    <w:rPr>
      <w:rFonts w:ascii="Luciole" w:eastAsiaTheme="majorEastAsia" w:hAnsi="Luciole" w:cstheme="majorBidi"/>
      <w:b/>
      <w:color w:val="000000" w:themeColor="text1"/>
      <w:sz w:val="32"/>
      <w:szCs w:val="32"/>
    </w:rPr>
  </w:style>
  <w:style w:type="paragraph" w:customStyle="1" w:styleId="h2---auteur-">
    <w:name w:val="h2---auteur-"/>
    <w:basedOn w:val="Normal"/>
    <w:rsid w:val="00D17E5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D17E53"/>
  </w:style>
  <w:style w:type="character" w:customStyle="1" w:styleId="charoverride-1">
    <w:name w:val="charoverride-1"/>
    <w:basedOn w:val="Policepardfaut"/>
    <w:rsid w:val="00D17E53"/>
  </w:style>
  <w:style w:type="character" w:customStyle="1" w:styleId="charoverride-2">
    <w:name w:val="charoverride-2"/>
    <w:basedOn w:val="Policepardfaut"/>
    <w:rsid w:val="00D17E53"/>
  </w:style>
  <w:style w:type="paragraph" w:customStyle="1" w:styleId="normal---p">
    <w:name w:val="normal---p"/>
    <w:basedOn w:val="Normal"/>
    <w:rsid w:val="00D17E53"/>
    <w:pPr>
      <w:spacing w:before="100" w:beforeAutospacing="1" w:after="100" w:afterAutospacing="1"/>
    </w:pPr>
    <w:rPr>
      <w:rFonts w:ascii="Times New Roman" w:eastAsia="Times New Roman" w:hAnsi="Times New Roman" w:cs="Times New Roman"/>
      <w:lang w:eastAsia="fr-FR"/>
    </w:rPr>
  </w:style>
  <w:style w:type="character" w:customStyle="1" w:styleId="charoverride-3">
    <w:name w:val="charoverride-3"/>
    <w:basedOn w:val="Policepardfaut"/>
    <w:rsid w:val="00D17E53"/>
  </w:style>
  <w:style w:type="character" w:customStyle="1" w:styleId="italique">
    <w:name w:val="italique"/>
    <w:basedOn w:val="Policepardfaut"/>
    <w:rsid w:val="00D17E53"/>
  </w:style>
  <w:style w:type="character" w:customStyle="1" w:styleId="exposant-id">
    <w:name w:val="exposant-id"/>
    <w:basedOn w:val="Policepardfaut"/>
    <w:rsid w:val="00D17E53"/>
  </w:style>
  <w:style w:type="character" w:styleId="Lienhypertexte">
    <w:name w:val="Hyperlink"/>
    <w:basedOn w:val="Policepardfaut"/>
    <w:uiPriority w:val="99"/>
    <w:semiHidden/>
    <w:unhideWhenUsed/>
    <w:rsid w:val="00D17E53"/>
    <w:rPr>
      <w:color w:val="0000FF"/>
      <w:u w:val="single"/>
    </w:rPr>
  </w:style>
  <w:style w:type="paragraph" w:customStyle="1" w:styleId="h2---titre-biblio">
    <w:name w:val="h2---titre-biblio"/>
    <w:basedOn w:val="Normal"/>
    <w:rsid w:val="00D17E53"/>
    <w:pPr>
      <w:spacing w:before="100" w:beforeAutospacing="1" w:after="100" w:afterAutospacing="1"/>
    </w:pPr>
    <w:rPr>
      <w:rFonts w:ascii="Times New Roman" w:eastAsia="Times New Roman" w:hAnsi="Times New Roman" w:cs="Times New Roman"/>
      <w:lang w:eastAsia="fr-FR"/>
    </w:rPr>
  </w:style>
  <w:style w:type="paragraph" w:customStyle="1" w:styleId="biblio-en-anglais">
    <w:name w:val="biblio-en-anglais"/>
    <w:basedOn w:val="Normal"/>
    <w:rsid w:val="00D17E53"/>
    <w:pPr>
      <w:spacing w:before="100" w:beforeAutospacing="1" w:after="100" w:afterAutospacing="1"/>
    </w:pPr>
    <w:rPr>
      <w:rFonts w:ascii="Times New Roman" w:eastAsia="Times New Roman" w:hAnsi="Times New Roman" w:cs="Times New Roman"/>
      <w:lang w:eastAsia="fr-FR"/>
    </w:rPr>
  </w:style>
  <w:style w:type="paragraph" w:customStyle="1" w:styleId="biblio-en-fran-ais">
    <w:name w:val="biblio-en-fran-ais"/>
    <w:basedOn w:val="Normal"/>
    <w:rsid w:val="00D17E53"/>
    <w:pPr>
      <w:spacing w:before="100" w:beforeAutospacing="1" w:after="100" w:afterAutospacing="1"/>
    </w:pPr>
    <w:rPr>
      <w:rFonts w:ascii="Times New Roman" w:eastAsia="Times New Roman" w:hAnsi="Times New Roman" w:cs="Times New Roman"/>
      <w:lang w:eastAsia="fr-FR"/>
    </w:rPr>
  </w:style>
  <w:style w:type="character" w:customStyle="1" w:styleId="url">
    <w:name w:val="url"/>
    <w:basedOn w:val="Policepardfaut"/>
    <w:rsid w:val="00D17E53"/>
  </w:style>
  <w:style w:type="paragraph" w:customStyle="1" w:styleId="bdp">
    <w:name w:val="bdp"/>
    <w:basedOn w:val="Normal"/>
    <w:rsid w:val="00D17E53"/>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D17E53"/>
    <w:rPr>
      <w:sz w:val="20"/>
      <w:szCs w:val="20"/>
    </w:rPr>
  </w:style>
  <w:style w:type="character" w:customStyle="1" w:styleId="NotedebasdepageCar">
    <w:name w:val="Note de bas de page Car"/>
    <w:basedOn w:val="Policepardfaut"/>
    <w:link w:val="Notedebasdepage"/>
    <w:uiPriority w:val="99"/>
    <w:semiHidden/>
    <w:rsid w:val="00D17E53"/>
    <w:rPr>
      <w:sz w:val="20"/>
      <w:szCs w:val="20"/>
    </w:rPr>
  </w:style>
  <w:style w:type="character" w:styleId="Appelnotedebasdep">
    <w:name w:val="footnote reference"/>
    <w:basedOn w:val="Policepardfaut"/>
    <w:uiPriority w:val="99"/>
    <w:semiHidden/>
    <w:unhideWhenUsed/>
    <w:rsid w:val="00D17E53"/>
    <w:rPr>
      <w:vertAlign w:val="superscript"/>
    </w:rPr>
  </w:style>
  <w:style w:type="character" w:customStyle="1" w:styleId="Titre2Car">
    <w:name w:val="Titre 2 Car"/>
    <w:basedOn w:val="Policepardfaut"/>
    <w:link w:val="Titre2"/>
    <w:uiPriority w:val="9"/>
    <w:rsid w:val="00E65E35"/>
    <w:rPr>
      <w:rFonts w:ascii="Luciole" w:eastAsiaTheme="majorEastAsia" w:hAnsi="Luciole"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83235">
      <w:bodyDiv w:val="1"/>
      <w:marLeft w:val="0"/>
      <w:marRight w:val="0"/>
      <w:marTop w:val="0"/>
      <w:marBottom w:val="0"/>
      <w:divBdr>
        <w:top w:val="none" w:sz="0" w:space="0" w:color="auto"/>
        <w:left w:val="none" w:sz="0" w:space="0" w:color="auto"/>
        <w:bottom w:val="none" w:sz="0" w:space="0" w:color="auto"/>
        <w:right w:val="none" w:sz="0" w:space="0" w:color="auto"/>
      </w:divBdr>
      <w:divsChild>
        <w:div w:id="466555388">
          <w:marLeft w:val="0"/>
          <w:marRight w:val="0"/>
          <w:marTop w:val="0"/>
          <w:marBottom w:val="0"/>
          <w:divBdr>
            <w:top w:val="single" w:sz="2" w:space="0" w:color="auto"/>
            <w:left w:val="single" w:sz="2" w:space="0" w:color="auto"/>
            <w:bottom w:val="single" w:sz="2" w:space="0" w:color="auto"/>
            <w:right w:val="single" w:sz="2" w:space="0" w:color="auto"/>
          </w:divBdr>
        </w:div>
        <w:div w:id="1581066090">
          <w:marLeft w:val="0"/>
          <w:marRight w:val="0"/>
          <w:marTop w:val="0"/>
          <w:marBottom w:val="0"/>
          <w:divBdr>
            <w:top w:val="single" w:sz="2" w:space="0" w:color="auto"/>
            <w:left w:val="single" w:sz="2" w:space="0" w:color="auto"/>
            <w:bottom w:val="single" w:sz="2" w:space="0" w:color="auto"/>
            <w:right w:val="single" w:sz="2" w:space="0" w:color="auto"/>
          </w:divBdr>
          <w:divsChild>
            <w:div w:id="891497934">
              <w:marLeft w:val="0"/>
              <w:marRight w:val="0"/>
              <w:marTop w:val="0"/>
              <w:marBottom w:val="0"/>
              <w:divBdr>
                <w:top w:val="none" w:sz="0" w:space="0" w:color="auto"/>
                <w:left w:val="none" w:sz="0" w:space="0" w:color="auto"/>
                <w:bottom w:val="none" w:sz="0" w:space="0" w:color="auto"/>
                <w:right w:val="none" w:sz="0" w:space="0" w:color="auto"/>
              </w:divBdr>
              <w:divsChild>
                <w:div w:id="1914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openedition.org/anthropologiesante/397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973</Words>
  <Characters>5683</Characters>
  <Application>Microsoft Office Word</Application>
  <DocSecurity>0</DocSecurity>
  <Lines>84</Lines>
  <Paragraphs>14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Éditorial de la revue numéro 94 : La nouvelle revue - Éducation et société inclusives par Hervé Benoit</dc:title>
  <dc:subject/>
  <dc:creator>Vincent Le Calvez</dc:creator>
  <cp:keywords/>
  <dc:description/>
  <cp:lastModifiedBy>Microsoft Office User</cp:lastModifiedBy>
  <cp:revision>15</cp:revision>
  <dcterms:created xsi:type="dcterms:W3CDTF">2022-09-02T15:20:00Z</dcterms:created>
  <dcterms:modified xsi:type="dcterms:W3CDTF">2022-09-07T07:36:00Z</dcterms:modified>
  <cp:category/>
</cp:coreProperties>
</file>